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D4FE8" w:rsidRDefault="008D4FE8" w:rsidP="008D4FE8">
      <w:pPr>
        <w:pStyle w:val="af"/>
        <w:shd w:val="clear" w:color="auto" w:fill="FFFFFF"/>
        <w:spacing w:before="0" w:beforeAutospacing="0" w:after="0" w:afterAutospacing="0"/>
        <w:jc w:val="center"/>
        <w:rPr>
          <w:color w:val="333333"/>
        </w:rPr>
      </w:pPr>
      <w:r>
        <w:rPr>
          <w:rFonts w:hint="eastAsia"/>
          <w:b/>
          <w:bCs/>
          <w:color w:val="333333"/>
          <w:sz w:val="36"/>
          <w:szCs w:val="36"/>
        </w:rPr>
        <w:t>关于印发《国家自然科学基金资助项目资金管理办法》的通知</w:t>
      </w:r>
      <w:r>
        <w:rPr>
          <w:rFonts w:hint="eastAsia"/>
          <w:color w:val="333333"/>
        </w:rPr>
        <w:br/>
      </w:r>
      <w:proofErr w:type="gramStart"/>
      <w:r>
        <w:rPr>
          <w:rFonts w:ascii="楷体" w:eastAsia="楷体" w:hAnsi="楷体" w:hint="eastAsia"/>
          <w:color w:val="333333"/>
        </w:rPr>
        <w:t>财教〔2021〕</w:t>
      </w:r>
      <w:proofErr w:type="gramEnd"/>
      <w:r>
        <w:rPr>
          <w:rFonts w:ascii="楷体" w:eastAsia="楷体" w:hAnsi="楷体" w:hint="eastAsia"/>
          <w:color w:val="333333"/>
        </w:rPr>
        <w:t>177号</w:t>
      </w:r>
    </w:p>
    <w:p w:rsidR="008D4FE8" w:rsidRDefault="008D4FE8" w:rsidP="008D4FE8">
      <w:pPr>
        <w:pStyle w:val="af"/>
        <w:shd w:val="clear" w:color="auto" w:fill="FFFFFF"/>
        <w:spacing w:before="0" w:beforeAutospacing="0" w:after="225" w:afterAutospacing="0"/>
        <w:rPr>
          <w:rFonts w:hint="eastAsia"/>
          <w:color w:val="333333"/>
        </w:rPr>
      </w:pPr>
      <w:r>
        <w:rPr>
          <w:rFonts w:hint="eastAsia"/>
          <w:color w:val="333333"/>
        </w:rPr>
        <w:t>有关单位：</w:t>
      </w:r>
    </w:p>
    <w:p w:rsidR="008D4FE8" w:rsidRDefault="008D4FE8" w:rsidP="008D4FE8">
      <w:pPr>
        <w:pStyle w:val="af"/>
        <w:shd w:val="clear" w:color="auto" w:fill="FFFFFF"/>
        <w:spacing w:before="0" w:beforeAutospacing="0" w:after="225" w:afterAutospacing="0"/>
        <w:ind w:firstLine="480"/>
        <w:rPr>
          <w:rFonts w:hint="eastAsia"/>
          <w:color w:val="333333"/>
        </w:rPr>
      </w:pPr>
      <w:r>
        <w:rPr>
          <w:rFonts w:hint="eastAsia"/>
          <w:color w:val="333333"/>
        </w:rPr>
        <w:t>根据党中央、国务院关于科研经费管理改革有关要求和《国务院办公厅关于改革完善中央财政科研经费管理的若干意见》(国办发〔2021〕32号)，我们对《财政部 国家自然科学基金委员会关于印发&lt;国家自然科学基金资助项目资金管理办法&gt;的通知》（</w:t>
      </w:r>
      <w:proofErr w:type="gramStart"/>
      <w:r>
        <w:rPr>
          <w:rFonts w:hint="eastAsia"/>
          <w:color w:val="333333"/>
        </w:rPr>
        <w:t>财教〔2015〕</w:t>
      </w:r>
      <w:proofErr w:type="gramEnd"/>
      <w:r>
        <w:rPr>
          <w:rFonts w:hint="eastAsia"/>
          <w:color w:val="333333"/>
        </w:rPr>
        <w:t>15号）进行了修订。现将修订后的《国家自然科学基金资助项目资金管理办法》印发你们，请遵照执行。</w:t>
      </w:r>
    </w:p>
    <w:p w:rsidR="008D4FE8" w:rsidRDefault="008D4FE8" w:rsidP="008D4FE8">
      <w:pPr>
        <w:pStyle w:val="af"/>
        <w:shd w:val="clear" w:color="auto" w:fill="FFFFFF"/>
        <w:spacing w:before="0" w:beforeAutospacing="0" w:after="0" w:afterAutospacing="0"/>
        <w:ind w:firstLine="480"/>
        <w:rPr>
          <w:rFonts w:hint="eastAsia"/>
          <w:color w:val="333333"/>
        </w:rPr>
      </w:pPr>
      <w:r>
        <w:rPr>
          <w:rFonts w:hint="eastAsia"/>
          <w:color w:val="333333"/>
        </w:rPr>
        <w:t>附件：</w:t>
      </w:r>
      <w:r w:rsidRPr="008D4FE8">
        <w:rPr>
          <w:rFonts w:hint="eastAsia"/>
          <w:color w:val="333333"/>
        </w:rPr>
        <w:t>国家自然科学基金资助项目资金管理办法</w:t>
      </w:r>
    </w:p>
    <w:p w:rsidR="008D4FE8" w:rsidRDefault="008D4FE8" w:rsidP="008D4FE8">
      <w:pPr>
        <w:pStyle w:val="af"/>
        <w:shd w:val="clear" w:color="auto" w:fill="FFFFFF"/>
        <w:spacing w:before="0" w:beforeAutospacing="0" w:after="0" w:afterAutospacing="0"/>
        <w:ind w:firstLine="480"/>
        <w:jc w:val="right"/>
        <w:rPr>
          <w:rFonts w:hint="eastAsia"/>
          <w:color w:val="333333"/>
        </w:rPr>
      </w:pPr>
      <w:r>
        <w:rPr>
          <w:rFonts w:hint="eastAsia"/>
          <w:color w:val="333333"/>
        </w:rPr>
        <w:t>财政部</w:t>
      </w:r>
      <w:r>
        <w:rPr>
          <w:rFonts w:hint="eastAsia"/>
          <w:color w:val="333333"/>
        </w:rPr>
        <w:br/>
      </w:r>
      <w:bookmarkStart w:id="0" w:name="_GoBack"/>
      <w:bookmarkEnd w:id="0"/>
      <w:r>
        <w:rPr>
          <w:rFonts w:hint="eastAsia"/>
          <w:color w:val="333333"/>
        </w:rPr>
        <w:t>国家自然科学基金委员会</w:t>
      </w:r>
      <w:r>
        <w:rPr>
          <w:rFonts w:hint="eastAsia"/>
          <w:color w:val="333333"/>
        </w:rPr>
        <w:br/>
        <w:t>2021年9月28日</w:t>
      </w:r>
    </w:p>
    <w:p w:rsidR="00E215B0" w:rsidRDefault="00A71682">
      <w:pPr>
        <w:spacing w:line="560" w:lineRule="exac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lang w:val="en"/>
        </w:rPr>
        <w:t>附件</w:t>
      </w:r>
    </w:p>
    <w:p w:rsidR="00E215B0" w:rsidRDefault="00E215B0">
      <w:pPr>
        <w:spacing w:line="560" w:lineRule="exact"/>
        <w:rPr>
          <w:rFonts w:ascii="仿宋_GB2312" w:eastAsia="仿宋_GB2312" w:hAnsi="Arial" w:cs="Arial"/>
          <w:color w:val="000000"/>
          <w:kern w:val="0"/>
          <w:sz w:val="30"/>
          <w:szCs w:val="30"/>
          <w:lang w:val="en"/>
        </w:rPr>
      </w:pPr>
    </w:p>
    <w:p w:rsidR="00E215B0" w:rsidRDefault="00A71682">
      <w:pPr>
        <w:pStyle w:val="a5"/>
        <w:autoSpaceDE w:val="0"/>
        <w:autoSpaceDN w:val="0"/>
        <w:adjustRightInd w:val="0"/>
        <w:snapToGrid w:val="0"/>
        <w:spacing w:line="588" w:lineRule="atLeast"/>
        <w:jc w:val="center"/>
        <w:rPr>
          <w:rFonts w:ascii="方正小标宋简体" w:eastAsia="方正小标宋简体" w:hAnsi="方正小标宋简体" w:cs="方正小标宋简体"/>
          <w:spacing w:val="-2"/>
          <w:sz w:val="44"/>
          <w:szCs w:val="44"/>
        </w:rPr>
      </w:pPr>
      <w:r>
        <w:rPr>
          <w:rFonts w:ascii="方正小标宋简体" w:eastAsia="方正小标宋简体" w:hAnsi="方正小标宋简体" w:cs="方正小标宋简体" w:hint="eastAsia"/>
          <w:spacing w:val="-2"/>
          <w:sz w:val="44"/>
          <w:szCs w:val="44"/>
        </w:rPr>
        <w:t>国家自然科学基金资助项目资金管理办法</w:t>
      </w:r>
    </w:p>
    <w:p w:rsidR="00E215B0" w:rsidRDefault="00E215B0">
      <w:pPr>
        <w:spacing w:line="560" w:lineRule="exact"/>
        <w:jc w:val="center"/>
        <w:rPr>
          <w:rFonts w:ascii="仿宋_GB2312" w:eastAsia="仿宋_GB2312" w:hAnsi="Arial" w:cs="Arial"/>
          <w:color w:val="000000"/>
          <w:kern w:val="0"/>
          <w:sz w:val="30"/>
          <w:szCs w:val="30"/>
        </w:rPr>
      </w:pPr>
    </w:p>
    <w:p w:rsidR="00E215B0" w:rsidRDefault="00A71682">
      <w:pPr>
        <w:widowControl/>
        <w:numPr>
          <w:ilvl w:val="255"/>
          <w:numId w:val="0"/>
        </w:numPr>
        <w:spacing w:afterLines="50" w:after="156" w:line="560" w:lineRule="exact"/>
        <w:jc w:val="center"/>
        <w:rPr>
          <w:rFonts w:ascii="黑体" w:eastAsia="黑体" w:hAnsi="Arial" w:cs="Arial"/>
          <w:color w:val="000000"/>
          <w:kern w:val="0"/>
          <w:sz w:val="32"/>
          <w:szCs w:val="32"/>
        </w:rPr>
      </w:pPr>
      <w:r>
        <w:rPr>
          <w:rFonts w:ascii="黑体" w:eastAsia="黑体" w:hAnsi="Arial" w:cs="Arial" w:hint="eastAsia"/>
          <w:color w:val="000000"/>
          <w:kern w:val="0"/>
          <w:sz w:val="32"/>
          <w:szCs w:val="32"/>
        </w:rPr>
        <w:t>第一章</w:t>
      </w:r>
      <w:r>
        <w:rPr>
          <w:rFonts w:ascii="黑体" w:eastAsia="黑体" w:hAnsi="Arial" w:cs="Arial" w:hint="eastAsia"/>
          <w:color w:val="000000"/>
          <w:kern w:val="0"/>
          <w:sz w:val="32"/>
          <w:szCs w:val="32"/>
        </w:rPr>
        <w:t xml:space="preserve">  </w:t>
      </w:r>
      <w:r>
        <w:rPr>
          <w:rFonts w:ascii="黑体" w:eastAsia="黑体" w:hAnsi="Arial" w:cs="Arial" w:hint="eastAsia"/>
          <w:color w:val="000000"/>
          <w:kern w:val="0"/>
          <w:sz w:val="32"/>
          <w:szCs w:val="32"/>
        </w:rPr>
        <w:t>总</w:t>
      </w:r>
      <w:r>
        <w:rPr>
          <w:rFonts w:ascii="黑体" w:eastAsia="黑体" w:hAnsi="Arial" w:cs="Arial" w:hint="eastAsia"/>
          <w:color w:val="000000"/>
          <w:kern w:val="0"/>
          <w:sz w:val="32"/>
          <w:szCs w:val="32"/>
        </w:rPr>
        <w:t xml:space="preserve"> </w:t>
      </w:r>
      <w:r>
        <w:rPr>
          <w:rFonts w:ascii="黑体" w:eastAsia="黑体" w:hAnsi="Arial" w:cs="Arial" w:hint="eastAsia"/>
          <w:color w:val="000000"/>
          <w:kern w:val="0"/>
          <w:sz w:val="32"/>
          <w:szCs w:val="32"/>
        </w:rPr>
        <w:t>则</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lang w:val="en"/>
        </w:rPr>
        <w:t>第一条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为规范国家自然科学基金资助项目（以下简称项目）资金管理和使用，提高资金使用效益，根据《国家自然科学基金条例》</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《中共中央办公厅</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国务院办公厅印发</w:t>
      </w:r>
      <w:r>
        <w:rPr>
          <w:rFonts w:ascii="仿宋_GB2312" w:eastAsia="仿宋_GB2312" w:hAnsi="仿宋_GB2312" w:cs="仿宋_GB2312" w:hint="eastAsia"/>
          <w:spacing w:val="-2"/>
          <w:sz w:val="32"/>
          <w:szCs w:val="32"/>
          <w:lang w:val="en"/>
        </w:rPr>
        <w:t>&lt;</w:t>
      </w:r>
      <w:r>
        <w:rPr>
          <w:rFonts w:ascii="仿宋_GB2312" w:eastAsia="仿宋_GB2312" w:hAnsi="仿宋_GB2312" w:cs="仿宋_GB2312" w:hint="eastAsia"/>
          <w:spacing w:val="-2"/>
          <w:sz w:val="32"/>
          <w:szCs w:val="32"/>
          <w:lang w:val="en"/>
        </w:rPr>
        <w:t>关于进一步完善中央财政科研项目资金管理等政策的若干意见</w:t>
      </w:r>
      <w:r>
        <w:rPr>
          <w:rFonts w:ascii="仿宋_GB2312" w:eastAsia="仿宋_GB2312" w:hAnsi="仿宋_GB2312" w:cs="仿宋_GB2312" w:hint="eastAsia"/>
          <w:spacing w:val="-2"/>
          <w:sz w:val="32"/>
          <w:szCs w:val="32"/>
          <w:lang w:val="en"/>
        </w:rPr>
        <w:t>&gt;</w:t>
      </w:r>
      <w:r>
        <w:rPr>
          <w:rFonts w:ascii="仿宋_GB2312" w:eastAsia="仿宋_GB2312" w:hAnsi="仿宋_GB2312" w:cs="仿宋_GB2312" w:hint="eastAsia"/>
          <w:spacing w:val="-2"/>
          <w:sz w:val="32"/>
          <w:szCs w:val="32"/>
          <w:lang w:val="en"/>
        </w:rPr>
        <w:t>的通知》</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《国务院关于优化科研管理提升科研绩效若干措施的通知》</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国发〔</w:t>
      </w:r>
      <w:r>
        <w:rPr>
          <w:rFonts w:ascii="仿宋_GB2312" w:eastAsia="仿宋_GB2312" w:hAnsi="仿宋_GB2312" w:cs="仿宋_GB2312" w:hint="eastAsia"/>
          <w:spacing w:val="-2"/>
          <w:sz w:val="32"/>
          <w:szCs w:val="32"/>
          <w:lang w:val="en"/>
        </w:rPr>
        <w:t>20</w:t>
      </w:r>
      <w:r>
        <w:rPr>
          <w:rFonts w:ascii="仿宋_GB2312" w:eastAsia="仿宋_GB2312" w:hAnsi="仿宋_GB2312" w:cs="仿宋_GB2312" w:hint="eastAsia"/>
          <w:spacing w:val="-2"/>
          <w:sz w:val="32"/>
          <w:szCs w:val="32"/>
        </w:rPr>
        <w:t>18</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25</w:t>
      </w:r>
      <w:r>
        <w:rPr>
          <w:rFonts w:ascii="仿宋_GB2312" w:eastAsia="仿宋_GB2312" w:hAnsi="仿宋_GB2312" w:cs="仿宋_GB2312" w:hint="eastAsia"/>
          <w:spacing w:val="-2"/>
          <w:sz w:val="32"/>
          <w:szCs w:val="32"/>
          <w:lang w:val="en"/>
        </w:rPr>
        <w:t>号</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《国务院办公厅关于改革完善中央财政科研经费管理的若干意见》（国办发〔</w:t>
      </w:r>
      <w:r>
        <w:rPr>
          <w:rFonts w:ascii="仿宋_GB2312" w:eastAsia="仿宋_GB2312" w:hAnsi="仿宋_GB2312" w:cs="仿宋_GB2312" w:hint="eastAsia"/>
          <w:spacing w:val="-2"/>
          <w:sz w:val="32"/>
          <w:szCs w:val="32"/>
          <w:lang w:val="en"/>
        </w:rPr>
        <w:t>2021</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32</w:t>
      </w:r>
      <w:r>
        <w:rPr>
          <w:rFonts w:ascii="仿宋_GB2312" w:eastAsia="仿宋_GB2312" w:hAnsi="仿宋_GB2312" w:cs="仿宋_GB2312" w:hint="eastAsia"/>
          <w:spacing w:val="-2"/>
          <w:sz w:val="32"/>
          <w:szCs w:val="32"/>
          <w:lang w:val="en"/>
        </w:rPr>
        <w:t>号）</w:t>
      </w:r>
      <w:r>
        <w:rPr>
          <w:rFonts w:ascii="仿宋_GB2312" w:eastAsia="仿宋_GB2312" w:hAnsi="仿宋_GB2312" w:cs="仿宋_GB2312" w:hint="eastAsia"/>
          <w:spacing w:val="-2"/>
          <w:sz w:val="32"/>
          <w:szCs w:val="32"/>
          <w:lang w:val="en"/>
        </w:rPr>
        <w:t>等要求，以及</w:t>
      </w:r>
      <w:r>
        <w:rPr>
          <w:rFonts w:ascii="仿宋_GB2312" w:eastAsia="仿宋_GB2312" w:hAnsi="仿宋_GB2312" w:cs="仿宋_GB2312" w:hint="eastAsia"/>
          <w:spacing w:val="-2"/>
          <w:sz w:val="32"/>
          <w:szCs w:val="32"/>
          <w:lang w:val="en"/>
        </w:rPr>
        <w:t>国家</w:t>
      </w:r>
      <w:r>
        <w:rPr>
          <w:rFonts w:ascii="仿宋_GB2312" w:eastAsia="仿宋_GB2312" w:hAnsi="仿宋_GB2312" w:cs="仿宋_GB2312" w:hint="eastAsia"/>
          <w:spacing w:val="-2"/>
          <w:sz w:val="32"/>
          <w:szCs w:val="32"/>
          <w:lang w:val="en"/>
        </w:rPr>
        <w:t>有关财经法规和财务管理制度，结合国家自然科学基金</w:t>
      </w:r>
      <w:r>
        <w:rPr>
          <w:rFonts w:ascii="仿宋_GB2312" w:eastAsia="仿宋_GB2312" w:hAnsi="仿宋_GB2312" w:cs="仿宋_GB2312" w:hint="eastAsia"/>
          <w:spacing w:val="-2"/>
          <w:sz w:val="32"/>
          <w:szCs w:val="32"/>
          <w:lang w:val="en"/>
        </w:rPr>
        <w:t>（以下简称自然科学基金）</w:t>
      </w:r>
      <w:r>
        <w:rPr>
          <w:rFonts w:ascii="仿宋_GB2312" w:eastAsia="仿宋_GB2312" w:hAnsi="仿宋_GB2312" w:cs="仿宋_GB2312" w:hint="eastAsia"/>
          <w:spacing w:val="-2"/>
          <w:sz w:val="32"/>
          <w:szCs w:val="32"/>
          <w:lang w:val="en"/>
        </w:rPr>
        <w:t>管理特点，</w:t>
      </w:r>
      <w:r>
        <w:rPr>
          <w:rFonts w:ascii="仿宋_GB2312" w:eastAsia="仿宋_GB2312" w:hAnsi="仿宋_GB2312" w:cs="仿宋_GB2312" w:hint="eastAsia"/>
          <w:spacing w:val="-2"/>
          <w:sz w:val="32"/>
          <w:szCs w:val="32"/>
          <w:lang w:val="en"/>
        </w:rPr>
        <w:t>制</w:t>
      </w:r>
      <w:r>
        <w:rPr>
          <w:rFonts w:ascii="仿宋_GB2312" w:eastAsia="仿宋_GB2312" w:hAnsi="仿宋_GB2312" w:cs="仿宋_GB2312" w:hint="eastAsia"/>
          <w:spacing w:val="-2"/>
          <w:sz w:val="32"/>
          <w:szCs w:val="32"/>
          <w:lang w:val="en"/>
        </w:rPr>
        <w:lastRenderedPageBreak/>
        <w:t>定本办法。</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本办法所称项目资金，是指自然科学基金用于资助科学技术人员开展基础研究和科学前沿探索，支持人才和团队建设的专项资金。</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财政部根据国家科技发展规划，结合自然科学基金资金需求和国家财力可能，将项目资金列入中央财政预算，并负责宏观管理和监督。</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第四条</w:t>
      </w:r>
      <w:r>
        <w:rPr>
          <w:rFonts w:ascii="黑体" w:eastAsia="黑体" w:hAnsi="黑体" w:cs="黑体" w:hint="eastAsia"/>
          <w:spacing w:val="-2"/>
          <w:sz w:val="32"/>
          <w:szCs w:val="32"/>
          <w:lang w:val="en"/>
        </w:rPr>
        <w:t xml:space="preserve"> </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国家自然科学基金委员会（以下简称自然科学基金委）依法负责项目的立项和审批，并对项目资金进行具体管理和监督。</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第五条</w:t>
      </w:r>
      <w:r>
        <w:rPr>
          <w:rFonts w:ascii="黑体" w:eastAsia="黑体" w:hAnsi="黑体" w:cs="黑体" w:hint="eastAsia"/>
          <w:spacing w:val="-2"/>
          <w:sz w:val="32"/>
          <w:szCs w:val="32"/>
          <w:lang w:val="en"/>
        </w:rPr>
        <w:t xml:space="preserve"> </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依托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lang w:val="en"/>
        </w:rPr>
        <w:t>依托单位应当落实项目承诺的自筹资金及其他配套条件，对项目组织实施提供条件保障。</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第六条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rPr>
        <w:t>项目负责人是项目资金使用的直接责任人，对资金使用的合</w:t>
      </w:r>
      <w:proofErr w:type="gramStart"/>
      <w:r>
        <w:rPr>
          <w:rFonts w:ascii="仿宋_GB2312" w:eastAsia="仿宋_GB2312" w:hAnsi="仿宋_GB2312" w:cs="仿宋_GB2312" w:hint="eastAsia"/>
          <w:spacing w:val="-2"/>
          <w:sz w:val="32"/>
          <w:szCs w:val="32"/>
        </w:rPr>
        <w:t>规</w:t>
      </w:r>
      <w:proofErr w:type="gramEnd"/>
      <w:r>
        <w:rPr>
          <w:rFonts w:ascii="仿宋_GB2312" w:eastAsia="仿宋_GB2312" w:hAnsi="仿宋_GB2312" w:cs="仿宋_GB2312" w:hint="eastAsia"/>
          <w:spacing w:val="-2"/>
          <w:sz w:val="32"/>
          <w:szCs w:val="32"/>
        </w:rPr>
        <w:t>性、合理性、真实性和相关性负责</w:t>
      </w:r>
      <w:r>
        <w:rPr>
          <w:rFonts w:ascii="仿宋_GB2312" w:eastAsia="仿宋_GB2312" w:hAnsi="仿宋_GB2312" w:cs="仿宋_GB2312" w:hint="eastAsia"/>
          <w:spacing w:val="-2"/>
          <w:sz w:val="32"/>
          <w:szCs w:val="32"/>
          <w:lang w:val="en"/>
        </w:rPr>
        <w:t>。</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第七条</w:t>
      </w:r>
      <w:r>
        <w:rPr>
          <w:rFonts w:ascii="黑体" w:eastAsia="黑体" w:hAnsi="黑体" w:cs="黑体" w:hint="eastAsia"/>
          <w:spacing w:val="-2"/>
          <w:sz w:val="32"/>
          <w:szCs w:val="32"/>
          <w:lang w:val="en"/>
        </w:rPr>
        <w:t xml:space="preserve"> </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根据预算管理方式不同，自然科学基金项目资金管理分为包干制和预算制。</w:t>
      </w:r>
    </w:p>
    <w:p w:rsidR="00E215B0" w:rsidRDefault="00E215B0">
      <w:pPr>
        <w:spacing w:line="560" w:lineRule="exact"/>
        <w:ind w:firstLineChars="179" w:firstLine="573"/>
        <w:rPr>
          <w:rFonts w:ascii="仿宋_GB2312" w:eastAsia="仿宋_GB2312"/>
          <w:sz w:val="32"/>
          <w:szCs w:val="32"/>
        </w:rPr>
      </w:pPr>
    </w:p>
    <w:p w:rsidR="00E215B0" w:rsidRDefault="00A71682">
      <w:pPr>
        <w:widowControl/>
        <w:spacing w:afterLines="50" w:after="156" w:line="560" w:lineRule="exact"/>
        <w:jc w:val="center"/>
        <w:rPr>
          <w:rFonts w:ascii="黑体" w:eastAsia="黑体" w:hAnsi="Arial" w:cs="Arial"/>
          <w:bCs/>
          <w:color w:val="000000"/>
          <w:kern w:val="0"/>
          <w:sz w:val="32"/>
          <w:szCs w:val="32"/>
        </w:rPr>
      </w:pPr>
      <w:r>
        <w:rPr>
          <w:rFonts w:ascii="黑体" w:eastAsia="黑体" w:hAnsi="Arial" w:cs="Arial" w:hint="eastAsia"/>
          <w:bCs/>
          <w:color w:val="000000"/>
          <w:kern w:val="0"/>
          <w:sz w:val="32"/>
          <w:szCs w:val="32"/>
        </w:rPr>
        <w:t>第二章</w:t>
      </w:r>
      <w:r>
        <w:rPr>
          <w:rFonts w:ascii="黑体" w:eastAsia="黑体" w:hAnsi="Arial" w:cs="Arial" w:hint="eastAsia"/>
          <w:bCs/>
          <w:color w:val="000000"/>
          <w:kern w:val="0"/>
          <w:sz w:val="32"/>
          <w:szCs w:val="32"/>
        </w:rPr>
        <w:t xml:space="preserve">  </w:t>
      </w:r>
      <w:r>
        <w:rPr>
          <w:rFonts w:ascii="黑体" w:eastAsia="黑体" w:hAnsi="Arial" w:cs="Arial" w:hint="eastAsia"/>
          <w:bCs/>
          <w:color w:val="000000"/>
          <w:kern w:val="0"/>
          <w:sz w:val="32"/>
          <w:szCs w:val="32"/>
        </w:rPr>
        <w:t>项目资金开支范围</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lastRenderedPageBreak/>
        <w:t xml:space="preserve">    </w:t>
      </w:r>
      <w:r>
        <w:rPr>
          <w:rFonts w:ascii="黑体" w:eastAsia="黑体" w:hAnsi="黑体" w:cs="黑体" w:hint="eastAsia"/>
          <w:spacing w:val="-2"/>
          <w:sz w:val="32"/>
          <w:szCs w:val="32"/>
        </w:rPr>
        <w:t>第八条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项目资金支出是指与项目研究工作相关的、由项目资金支付的各项费用支出。项目资金由直接费用和间接费用组成。</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第九条</w:t>
      </w:r>
      <w:r>
        <w:rPr>
          <w:rFonts w:ascii="黑体" w:eastAsia="黑体" w:hAnsi="黑体" w:cs="黑体" w:hint="eastAsia"/>
          <w:spacing w:val="-2"/>
          <w:sz w:val="32"/>
          <w:szCs w:val="32"/>
        </w:rPr>
        <w:t xml:space="preserve"> </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直接费用是指在项目实施过程中发生的与之直</w:t>
      </w:r>
      <w:proofErr w:type="gramStart"/>
      <w:r>
        <w:rPr>
          <w:rFonts w:ascii="仿宋_GB2312" w:eastAsia="仿宋_GB2312" w:hAnsi="仿宋_GB2312" w:cs="仿宋_GB2312" w:hint="eastAsia"/>
          <w:spacing w:val="-2"/>
          <w:sz w:val="32"/>
          <w:szCs w:val="32"/>
        </w:rPr>
        <w:t>接相关</w:t>
      </w:r>
      <w:proofErr w:type="gramEnd"/>
      <w:r>
        <w:rPr>
          <w:rFonts w:ascii="仿宋_GB2312" w:eastAsia="仿宋_GB2312" w:hAnsi="仿宋_GB2312" w:cs="仿宋_GB2312" w:hint="eastAsia"/>
          <w:spacing w:val="-2"/>
          <w:sz w:val="32"/>
          <w:szCs w:val="32"/>
        </w:rPr>
        <w:t>的费用，主要包括：</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（二）业务费：是指项目实施过程中消耗的各种材料、辅助材料等低值易耗品的采购、运输、装卸、整理等费用，发生的测试化验加工、燃料动力、出版</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文献</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信息传播</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知识产权事务、会议</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差旅</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国际合作交流等费用，以及其他相关支出。</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（三）劳务费：是指在项目实施过程中支付给参与项目研究的研究生、博士后、访问学者以及项目聘用的研究人员、科研辅助人员等的劳务性费用，以及支付给临时聘请的咨询专家的费用等。</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项目聘用人员的劳务费开支标准，参照当地科学研究和技术服务业从业人员平均工资水平，根据其在项目研究中承担的工作任务确定，其由单位缴纳的社会保险补助、住房公</w:t>
      </w:r>
      <w:r>
        <w:rPr>
          <w:rFonts w:ascii="仿宋_GB2312" w:eastAsia="仿宋_GB2312" w:hAnsi="仿宋_GB2312" w:cs="仿宋_GB2312" w:hint="eastAsia"/>
          <w:spacing w:val="-2"/>
          <w:sz w:val="32"/>
          <w:szCs w:val="32"/>
        </w:rPr>
        <w:lastRenderedPageBreak/>
        <w:t>积金等纳入劳务费科目列支。</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支付给临时聘请的咨询专家的费用，不得支付给参与本项目及所属课题研究和管理的相关人员，其管理按照国家有关规定执行。</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间接费用是指依托单位在组织实施项目过程中发生的无法在直接费用中列支的相关费用。主要包括：依托单位为项目研究提供的房屋占用，日常水、电、气、暖等消耗，有关管理费用的补助支出，以及激励科研人员的绩效支出等。</w:t>
      </w:r>
    </w:p>
    <w:p w:rsidR="00E215B0" w:rsidRDefault="00E215B0">
      <w:pPr>
        <w:widowControl/>
        <w:spacing w:afterLines="50" w:after="156" w:line="560" w:lineRule="exact"/>
        <w:ind w:firstLineChars="179" w:firstLine="573"/>
        <w:jc w:val="center"/>
        <w:rPr>
          <w:rFonts w:ascii="黑体" w:eastAsia="黑体" w:hAnsi="Arial" w:cs="Arial"/>
          <w:bCs/>
          <w:color w:val="000000"/>
          <w:kern w:val="0"/>
          <w:sz w:val="32"/>
          <w:szCs w:val="32"/>
        </w:rPr>
      </w:pPr>
    </w:p>
    <w:p w:rsidR="00E215B0" w:rsidRDefault="00A71682">
      <w:pPr>
        <w:widowControl/>
        <w:spacing w:afterLines="50" w:after="156" w:line="560" w:lineRule="exact"/>
        <w:jc w:val="center"/>
        <w:rPr>
          <w:rFonts w:ascii="黑体" w:eastAsia="黑体" w:hAnsi="Arial" w:cs="Arial"/>
          <w:bCs/>
          <w:color w:val="000000"/>
          <w:kern w:val="0"/>
          <w:sz w:val="32"/>
          <w:szCs w:val="32"/>
        </w:rPr>
      </w:pPr>
      <w:r>
        <w:rPr>
          <w:rFonts w:ascii="黑体" w:eastAsia="黑体" w:hAnsi="Arial" w:cs="Arial" w:hint="eastAsia"/>
          <w:bCs/>
          <w:color w:val="000000"/>
          <w:kern w:val="0"/>
          <w:sz w:val="32"/>
          <w:szCs w:val="32"/>
        </w:rPr>
        <w:t>第三章</w:t>
      </w:r>
      <w:r>
        <w:rPr>
          <w:rFonts w:ascii="黑体" w:eastAsia="黑体" w:hAnsi="Arial" w:cs="Arial" w:hint="eastAsia"/>
          <w:bCs/>
          <w:color w:val="000000"/>
          <w:kern w:val="0"/>
          <w:sz w:val="32"/>
          <w:szCs w:val="32"/>
        </w:rPr>
        <w:t xml:space="preserve">  </w:t>
      </w:r>
      <w:r>
        <w:rPr>
          <w:rFonts w:ascii="黑体" w:eastAsia="黑体" w:hAnsi="Arial" w:cs="Arial" w:hint="eastAsia"/>
          <w:bCs/>
          <w:color w:val="000000"/>
          <w:kern w:val="0"/>
          <w:sz w:val="32"/>
          <w:szCs w:val="32"/>
        </w:rPr>
        <w:t>包干制项目资金</w:t>
      </w:r>
      <w:r>
        <w:rPr>
          <w:rFonts w:ascii="黑体" w:eastAsia="黑体" w:hAnsi="Arial" w:cs="Arial" w:hint="eastAsia"/>
          <w:bCs/>
          <w:color w:val="000000"/>
          <w:kern w:val="0"/>
          <w:sz w:val="32"/>
          <w:szCs w:val="32"/>
        </w:rPr>
        <w:t>申请与审批</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第十一条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包干制项目申请人应当本着科学、合理、规范、有效的原则申请资助额度，无需编制项目预算。</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多个单位共同承担一个项目的，由项目申请人汇总申请资助额度。</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第十二条</w:t>
      </w:r>
      <w:r>
        <w:rPr>
          <w:rFonts w:ascii="黑体" w:eastAsia="黑体" w:hAnsi="黑体" w:cs="黑体" w:hint="eastAsia"/>
          <w:spacing w:val="-2"/>
          <w:sz w:val="32"/>
          <w:szCs w:val="32"/>
        </w:rPr>
        <w:t xml:space="preserve"> </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自然科学基金委组织专家对包干制项目和申请资助额度进行评审</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根据专家评审意</w:t>
      </w:r>
      <w:r>
        <w:rPr>
          <w:rFonts w:ascii="仿宋_GB2312" w:eastAsia="仿宋_GB2312" w:hAnsi="仿宋_GB2312" w:cs="仿宋_GB2312" w:hint="eastAsia"/>
          <w:spacing w:val="-2"/>
          <w:sz w:val="32"/>
          <w:szCs w:val="32"/>
        </w:rPr>
        <w:t>见并参考同类项目平均资助强度确定项目资助额度。</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第十三条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包干制项目资金由项目负责人自主决定使用，按照本办法第九条规定的开支范围列支，无需履行调剂程序。</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对于依托单位为项目研究提供的房屋占用，日常水、电、气、暖等消耗，有关管理费用的补助支出，由依托单位根据实际管理需要，在充分征求项目负责人意见基础上合理确定。</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lastRenderedPageBreak/>
        <w:t xml:space="preserve">    </w:t>
      </w:r>
      <w:r>
        <w:rPr>
          <w:rFonts w:ascii="仿宋_GB2312" w:eastAsia="仿宋_GB2312" w:hAnsi="仿宋_GB2312" w:cs="仿宋_GB2312" w:hint="eastAsia"/>
          <w:spacing w:val="-2"/>
          <w:sz w:val="32"/>
          <w:szCs w:val="32"/>
        </w:rPr>
        <w:t>对于激励科研人员的绩效支出，由项目负责人根据实际科研需要和相关薪酬标准自主确定，依托单位按照工资制度进行管理。</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第十四条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项目资金应当纳入依托单位财务统一管理，单独核算，专款专用。</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第十五条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依托单位应当制定项目经费包干制管理规定，管理规定应当包括经费使用范围和标准、各方责任、违规惩戒措施等内容，报自然科学基金委备案。</w:t>
      </w:r>
    </w:p>
    <w:p w:rsidR="00E215B0" w:rsidRDefault="00E215B0">
      <w:pPr>
        <w:widowControl/>
        <w:snapToGrid w:val="0"/>
        <w:spacing w:afterLines="50" w:after="156" w:line="560" w:lineRule="exact"/>
        <w:ind w:left="431"/>
        <w:jc w:val="center"/>
        <w:rPr>
          <w:rFonts w:ascii="黑体" w:eastAsia="黑体" w:hAnsi="Arial" w:cs="Arial"/>
          <w:bCs/>
          <w:color w:val="000000"/>
          <w:kern w:val="0"/>
          <w:sz w:val="32"/>
          <w:szCs w:val="32"/>
        </w:rPr>
      </w:pPr>
    </w:p>
    <w:p w:rsidR="00E215B0" w:rsidRDefault="00A71682">
      <w:pPr>
        <w:widowControl/>
        <w:spacing w:afterLines="50" w:after="156" w:line="560" w:lineRule="exact"/>
        <w:jc w:val="center"/>
        <w:rPr>
          <w:rFonts w:ascii="黑体" w:eastAsia="黑体" w:hAnsi="Arial" w:cs="Arial"/>
          <w:bCs/>
          <w:color w:val="000000"/>
          <w:kern w:val="0"/>
          <w:sz w:val="32"/>
          <w:szCs w:val="32"/>
        </w:rPr>
      </w:pPr>
      <w:r>
        <w:rPr>
          <w:rFonts w:ascii="黑体" w:eastAsia="黑体" w:hAnsi="Arial" w:cs="Arial" w:hint="eastAsia"/>
          <w:bCs/>
          <w:color w:val="000000"/>
          <w:kern w:val="0"/>
          <w:sz w:val="32"/>
          <w:szCs w:val="32"/>
        </w:rPr>
        <w:t>第四章</w:t>
      </w:r>
      <w:r>
        <w:rPr>
          <w:rFonts w:ascii="黑体" w:eastAsia="黑体" w:hAnsi="Arial" w:cs="Arial" w:hint="eastAsia"/>
          <w:bCs/>
          <w:color w:val="000000"/>
          <w:kern w:val="0"/>
          <w:sz w:val="32"/>
          <w:szCs w:val="32"/>
        </w:rPr>
        <w:t xml:space="preserve">  </w:t>
      </w:r>
      <w:r>
        <w:rPr>
          <w:rFonts w:ascii="黑体" w:eastAsia="黑体" w:hAnsi="Arial" w:cs="Arial" w:hint="eastAsia"/>
          <w:bCs/>
          <w:color w:val="000000"/>
          <w:kern w:val="0"/>
          <w:sz w:val="32"/>
          <w:szCs w:val="32"/>
        </w:rPr>
        <w:t>预算</w:t>
      </w:r>
      <w:proofErr w:type="gramStart"/>
      <w:r>
        <w:rPr>
          <w:rFonts w:ascii="黑体" w:eastAsia="黑体" w:hAnsi="Arial" w:cs="Arial" w:hint="eastAsia"/>
          <w:bCs/>
          <w:color w:val="000000"/>
          <w:kern w:val="0"/>
          <w:sz w:val="32"/>
          <w:szCs w:val="32"/>
        </w:rPr>
        <w:t>制项目</w:t>
      </w:r>
      <w:proofErr w:type="gramEnd"/>
      <w:r>
        <w:rPr>
          <w:rFonts w:ascii="黑体" w:eastAsia="黑体" w:hAnsi="Arial" w:cs="Arial" w:hint="eastAsia"/>
          <w:bCs/>
          <w:color w:val="000000"/>
          <w:kern w:val="0"/>
          <w:sz w:val="32"/>
          <w:szCs w:val="32"/>
        </w:rPr>
        <w:t>资金</w:t>
      </w:r>
      <w:r>
        <w:rPr>
          <w:rFonts w:ascii="黑体" w:eastAsia="黑体" w:hAnsi="Arial" w:cs="Arial" w:hint="eastAsia"/>
          <w:bCs/>
          <w:color w:val="000000"/>
          <w:kern w:val="0"/>
          <w:sz w:val="32"/>
          <w:szCs w:val="32"/>
        </w:rPr>
        <w:t>申请与审批</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第十六条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负责人（或申请人）应当根据政策相符性、目标相关性和经济合理性原则，编制项目收入预算和支出预算。</w:t>
      </w:r>
      <w:r>
        <w:rPr>
          <w:rFonts w:ascii="仿宋_GB2312" w:eastAsia="仿宋_GB2312" w:hAnsi="仿宋_GB2312" w:cs="仿宋_GB2312" w:hint="eastAsia"/>
          <w:spacing w:val="-2"/>
          <w:sz w:val="32"/>
          <w:szCs w:val="32"/>
        </w:rPr>
        <w:t xml:space="preserve"> </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收入预算应当按照从各种不同渠道获得的资金总额填列。包括自然科学基金资助的资金以及从依托单位和其他渠道获得的资金。</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支</w:t>
      </w:r>
      <w:r>
        <w:rPr>
          <w:rFonts w:ascii="仿宋_GB2312" w:eastAsia="仿宋_GB2312" w:hAnsi="仿宋_GB2312" w:cs="仿宋_GB2312" w:hint="eastAsia"/>
          <w:spacing w:val="-2"/>
          <w:sz w:val="32"/>
          <w:szCs w:val="32"/>
        </w:rPr>
        <w:t>出预算应当根据项目需求，按照资金开支范围编列。直接费用中除</w:t>
      </w:r>
      <w:r>
        <w:rPr>
          <w:rFonts w:ascii="仿宋_GB2312" w:eastAsia="仿宋_GB2312" w:hAnsi="仿宋_GB2312" w:cs="仿宋_GB2312" w:hint="eastAsia"/>
          <w:spacing w:val="-2"/>
          <w:sz w:val="32"/>
          <w:szCs w:val="32"/>
        </w:rPr>
        <w:t>50</w:t>
      </w:r>
      <w:r>
        <w:rPr>
          <w:rFonts w:ascii="仿宋_GB2312" w:eastAsia="仿宋_GB2312" w:hAnsi="仿宋_GB2312" w:cs="仿宋_GB2312" w:hint="eastAsia"/>
          <w:spacing w:val="-2"/>
          <w:sz w:val="32"/>
          <w:szCs w:val="32"/>
        </w:rPr>
        <w:t>万元以上的设备费外，其他费用只提供基本测算说明，不需要提供明细。</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第十七条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对于预算制项目，依托单位应当组织其科研和财务管理部门对项目预算进行审核。</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有多个单位共同承担一个项目的，依托单位的项目负责人（或申请人）和合作研究单位参与者应当根据各自承担的</w:t>
      </w:r>
      <w:r>
        <w:rPr>
          <w:rFonts w:ascii="仿宋_GB2312" w:eastAsia="仿宋_GB2312" w:hAnsi="仿宋_GB2312" w:cs="仿宋_GB2312" w:hint="eastAsia"/>
          <w:spacing w:val="-2"/>
          <w:sz w:val="32"/>
          <w:szCs w:val="32"/>
        </w:rPr>
        <w:lastRenderedPageBreak/>
        <w:t>研究任务分别编报项目预算，经所在单位科研、财务部门审核并签署意见后，由项目负责人（或申请人）汇总编制。</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第十八条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申请人申请自然科学基金项目，应当按照本办法中对于</w:t>
      </w:r>
      <w:r>
        <w:rPr>
          <w:rFonts w:ascii="仿宋_GB2312" w:eastAsia="仿宋_GB2312" w:hAnsi="仿宋_GB2312" w:cs="仿宋_GB2312" w:hint="eastAsia"/>
          <w:spacing w:val="-2"/>
          <w:sz w:val="32"/>
          <w:szCs w:val="32"/>
        </w:rPr>
        <w:t>直接费用的规定编制项目预算，经依托单位审核后提交自然科学基金委。</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第十九条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自然科学基金委组织专家或者择优遴选第三方对预算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进行项目评审并同步开展预算评审</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2"/>
          <w:sz w:val="32"/>
          <w:szCs w:val="32"/>
        </w:rPr>
        <w:t>根据项目实际需求确定预算。评审专家应满足相关回避要求。</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评审应当按照规范的程序和要求，坚持独立、客观、公正、科学的原则，对项目申报预算的政策相符性、目标相关性和经济合理性进行评审。不得将预算编制细致程度作为评审预算的因素，不得简单按比例核减预算。</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依托单位应当组织预算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负责人根据批准的项目资助额度，按规定调整项目预算，并在收到资助通知之日起</w:t>
      </w:r>
      <w:r>
        <w:rPr>
          <w:rFonts w:ascii="仿宋_GB2312" w:eastAsia="仿宋_GB2312" w:hAnsi="仿宋_GB2312" w:cs="仿宋_GB2312" w:hint="eastAsia"/>
          <w:spacing w:val="-2"/>
          <w:sz w:val="32"/>
          <w:szCs w:val="32"/>
        </w:rPr>
        <w:t>20</w:t>
      </w:r>
      <w:r>
        <w:rPr>
          <w:rFonts w:ascii="仿宋_GB2312" w:eastAsia="仿宋_GB2312" w:hAnsi="仿宋_GB2312" w:cs="仿宋_GB2312" w:hint="eastAsia"/>
          <w:spacing w:val="-2"/>
          <w:sz w:val="32"/>
          <w:szCs w:val="32"/>
        </w:rPr>
        <w:t>日内完成审核，报自然科学基金委核准。</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第二十一条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的直接费用应当纳入依托单位财务统一管理，单独核算，专款专用。</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的间接费用由依托单位统筹安排使用。依托单位应当建立健全间接费用的内部管理办法，公开透明、合</w:t>
      </w:r>
      <w:proofErr w:type="gramStart"/>
      <w:r>
        <w:rPr>
          <w:rFonts w:ascii="仿宋_GB2312" w:eastAsia="仿宋_GB2312" w:hAnsi="仿宋_GB2312" w:cs="仿宋_GB2312" w:hint="eastAsia"/>
          <w:spacing w:val="-2"/>
          <w:sz w:val="32"/>
          <w:szCs w:val="32"/>
        </w:rPr>
        <w:t>规</w:t>
      </w:r>
      <w:proofErr w:type="gramEnd"/>
      <w:r>
        <w:rPr>
          <w:rFonts w:ascii="仿宋_GB2312" w:eastAsia="仿宋_GB2312" w:hAnsi="仿宋_GB2312" w:cs="仿宋_GB2312" w:hint="eastAsia"/>
          <w:spacing w:val="-2"/>
          <w:sz w:val="32"/>
          <w:szCs w:val="32"/>
        </w:rPr>
        <w:t>合理使用间接费用，处理好分摊间接成本和对科研人员激励的关系。绩效支出安排应当与科研人员在项目工作中的实际贡献挂钩。依托单位可将间接费用全部用于绩效支出，并向创新绩效</w:t>
      </w:r>
      <w:r>
        <w:rPr>
          <w:rFonts w:ascii="仿宋_GB2312" w:eastAsia="仿宋_GB2312" w:hAnsi="仿宋_GB2312" w:cs="仿宋_GB2312" w:hint="eastAsia"/>
          <w:spacing w:val="-2"/>
          <w:sz w:val="32"/>
          <w:szCs w:val="32"/>
        </w:rPr>
        <w:t>突出的团队和个人倾斜。依托单位不得在间接费</w:t>
      </w:r>
      <w:r>
        <w:rPr>
          <w:rFonts w:ascii="仿宋_GB2312" w:eastAsia="仿宋_GB2312" w:hAnsi="仿宋_GB2312" w:cs="仿宋_GB2312" w:hint="eastAsia"/>
          <w:spacing w:val="-2"/>
          <w:sz w:val="32"/>
          <w:szCs w:val="32"/>
        </w:rPr>
        <w:lastRenderedPageBreak/>
        <w:t>用以外，再以任何名义在项目资金中重复提取、列支相关费用。</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第二十二条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的间接费用一般按照不超过项目直接费用扣除设备购置费后的一定比例核定，并实行总额控制，具体比例如下：</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w:t>
      </w:r>
      <w:r>
        <w:rPr>
          <w:rFonts w:ascii="仿宋_GB2312" w:eastAsia="仿宋_GB2312" w:hAnsi="仿宋_GB2312" w:cs="仿宋_GB2312" w:hint="eastAsia"/>
          <w:spacing w:val="-2"/>
          <w:sz w:val="32"/>
          <w:szCs w:val="32"/>
        </w:rPr>
        <w:t>500</w:t>
      </w:r>
      <w:r>
        <w:rPr>
          <w:rFonts w:ascii="仿宋_GB2312" w:eastAsia="仿宋_GB2312" w:hAnsi="仿宋_GB2312" w:cs="仿宋_GB2312" w:hint="eastAsia"/>
          <w:spacing w:val="-2"/>
          <w:sz w:val="32"/>
          <w:szCs w:val="32"/>
        </w:rPr>
        <w:t>万元及以下部分为</w:t>
      </w:r>
      <w:r>
        <w:rPr>
          <w:rFonts w:ascii="仿宋_GB2312" w:eastAsia="仿宋_GB2312" w:hAnsi="仿宋_GB2312" w:cs="仿宋_GB2312" w:hint="eastAsia"/>
          <w:spacing w:val="-2"/>
          <w:sz w:val="32"/>
          <w:szCs w:val="32"/>
        </w:rPr>
        <w:t>30%</w:t>
      </w:r>
      <w:r>
        <w:rPr>
          <w:rFonts w:ascii="仿宋_GB2312" w:eastAsia="仿宋_GB2312" w:hAnsi="仿宋_GB2312" w:cs="仿宋_GB2312" w:hint="eastAsia"/>
          <w:spacing w:val="-2"/>
          <w:sz w:val="32"/>
          <w:szCs w:val="32"/>
        </w:rPr>
        <w:t>；</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（二）超过</w:t>
      </w:r>
      <w:r>
        <w:rPr>
          <w:rFonts w:ascii="仿宋_GB2312" w:eastAsia="仿宋_GB2312" w:hAnsi="仿宋_GB2312" w:cs="仿宋_GB2312" w:hint="eastAsia"/>
          <w:spacing w:val="-2"/>
          <w:sz w:val="32"/>
          <w:szCs w:val="32"/>
        </w:rPr>
        <w:t>500</w:t>
      </w:r>
      <w:r>
        <w:rPr>
          <w:rFonts w:ascii="仿宋_GB2312" w:eastAsia="仿宋_GB2312" w:hAnsi="仿宋_GB2312" w:cs="仿宋_GB2312" w:hint="eastAsia"/>
          <w:spacing w:val="-2"/>
          <w:sz w:val="32"/>
          <w:szCs w:val="32"/>
        </w:rPr>
        <w:t>万元至</w:t>
      </w:r>
      <w:r>
        <w:rPr>
          <w:rFonts w:ascii="仿宋_GB2312" w:eastAsia="仿宋_GB2312" w:hAnsi="仿宋_GB2312" w:cs="仿宋_GB2312" w:hint="eastAsia"/>
          <w:spacing w:val="-2"/>
          <w:sz w:val="32"/>
          <w:szCs w:val="32"/>
        </w:rPr>
        <w:t>1000</w:t>
      </w:r>
      <w:r>
        <w:rPr>
          <w:rFonts w:ascii="仿宋_GB2312" w:eastAsia="仿宋_GB2312" w:hAnsi="仿宋_GB2312" w:cs="仿宋_GB2312" w:hint="eastAsia"/>
          <w:spacing w:val="-2"/>
          <w:sz w:val="32"/>
          <w:szCs w:val="32"/>
        </w:rPr>
        <w:t>万元的部分为</w:t>
      </w:r>
      <w:r>
        <w:rPr>
          <w:rFonts w:ascii="仿宋_GB2312" w:eastAsia="仿宋_GB2312" w:hAnsi="仿宋_GB2312" w:cs="仿宋_GB2312" w:hint="eastAsia"/>
          <w:spacing w:val="-2"/>
          <w:sz w:val="32"/>
          <w:szCs w:val="32"/>
        </w:rPr>
        <w:t>25%</w:t>
      </w:r>
      <w:r>
        <w:rPr>
          <w:rFonts w:ascii="仿宋_GB2312" w:eastAsia="仿宋_GB2312" w:hAnsi="仿宋_GB2312" w:cs="仿宋_GB2312" w:hint="eastAsia"/>
          <w:spacing w:val="-2"/>
          <w:sz w:val="32"/>
          <w:szCs w:val="32"/>
        </w:rPr>
        <w:t>；</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（三）超过</w:t>
      </w:r>
      <w:r>
        <w:rPr>
          <w:rFonts w:ascii="仿宋_GB2312" w:eastAsia="仿宋_GB2312" w:hAnsi="仿宋_GB2312" w:cs="仿宋_GB2312" w:hint="eastAsia"/>
          <w:spacing w:val="-2"/>
          <w:sz w:val="32"/>
          <w:szCs w:val="32"/>
        </w:rPr>
        <w:t>1000</w:t>
      </w:r>
      <w:r>
        <w:rPr>
          <w:rFonts w:ascii="仿宋_GB2312" w:eastAsia="仿宋_GB2312" w:hAnsi="仿宋_GB2312" w:cs="仿宋_GB2312" w:hint="eastAsia"/>
          <w:spacing w:val="-2"/>
          <w:sz w:val="32"/>
          <w:szCs w:val="32"/>
        </w:rPr>
        <w:t>万元的部分为</w:t>
      </w:r>
      <w:r>
        <w:rPr>
          <w:rFonts w:ascii="仿宋_GB2312" w:eastAsia="仿宋_GB2312" w:hAnsi="仿宋_GB2312" w:cs="仿宋_GB2312" w:hint="eastAsia"/>
          <w:spacing w:val="-2"/>
          <w:sz w:val="32"/>
          <w:szCs w:val="32"/>
        </w:rPr>
        <w:t>20%</w:t>
      </w:r>
      <w:r>
        <w:rPr>
          <w:rFonts w:ascii="仿宋_GB2312" w:eastAsia="仿宋_GB2312" w:hAnsi="仿宋_GB2312" w:cs="仿宋_GB2312" w:hint="eastAsia"/>
          <w:spacing w:val="-2"/>
          <w:sz w:val="32"/>
          <w:szCs w:val="32"/>
        </w:rPr>
        <w:t>。</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其中，对于数学等纯理论基础研究的预算制项目，间接费用一般按照不超过项目直接费用扣除设备购置费后的一定比例核定，并实行总额控制，具体比例如下：</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w:t>
      </w:r>
      <w:r>
        <w:rPr>
          <w:rFonts w:ascii="仿宋_GB2312" w:eastAsia="仿宋_GB2312" w:hAnsi="仿宋_GB2312" w:cs="仿宋_GB2312" w:hint="eastAsia"/>
          <w:spacing w:val="-2"/>
          <w:sz w:val="32"/>
          <w:szCs w:val="32"/>
        </w:rPr>
        <w:t>500</w:t>
      </w:r>
      <w:r>
        <w:rPr>
          <w:rFonts w:ascii="仿宋_GB2312" w:eastAsia="仿宋_GB2312" w:hAnsi="仿宋_GB2312" w:cs="仿宋_GB2312" w:hint="eastAsia"/>
          <w:spacing w:val="-2"/>
          <w:sz w:val="32"/>
          <w:szCs w:val="32"/>
        </w:rPr>
        <w:t>万元及以下部分为</w:t>
      </w:r>
      <w:r>
        <w:rPr>
          <w:rFonts w:ascii="仿宋_GB2312" w:eastAsia="仿宋_GB2312" w:hAnsi="仿宋_GB2312" w:cs="仿宋_GB2312" w:hint="eastAsia"/>
          <w:spacing w:val="-2"/>
          <w:sz w:val="32"/>
          <w:szCs w:val="32"/>
        </w:rPr>
        <w:t>60%</w:t>
      </w:r>
      <w:r>
        <w:rPr>
          <w:rFonts w:ascii="仿宋_GB2312" w:eastAsia="仿宋_GB2312" w:hAnsi="仿宋_GB2312" w:cs="仿宋_GB2312" w:hint="eastAsia"/>
          <w:spacing w:val="-2"/>
          <w:sz w:val="32"/>
          <w:szCs w:val="32"/>
        </w:rPr>
        <w:t>；</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（二）超过</w:t>
      </w:r>
      <w:r>
        <w:rPr>
          <w:rFonts w:ascii="仿宋_GB2312" w:eastAsia="仿宋_GB2312" w:hAnsi="仿宋_GB2312" w:cs="仿宋_GB2312" w:hint="eastAsia"/>
          <w:spacing w:val="-2"/>
          <w:sz w:val="32"/>
          <w:szCs w:val="32"/>
        </w:rPr>
        <w:t>500</w:t>
      </w:r>
      <w:r>
        <w:rPr>
          <w:rFonts w:ascii="仿宋_GB2312" w:eastAsia="仿宋_GB2312" w:hAnsi="仿宋_GB2312" w:cs="仿宋_GB2312" w:hint="eastAsia"/>
          <w:spacing w:val="-2"/>
          <w:sz w:val="32"/>
          <w:szCs w:val="32"/>
        </w:rPr>
        <w:t>万元至</w:t>
      </w:r>
      <w:r>
        <w:rPr>
          <w:rFonts w:ascii="仿宋_GB2312" w:eastAsia="仿宋_GB2312" w:hAnsi="仿宋_GB2312" w:cs="仿宋_GB2312" w:hint="eastAsia"/>
          <w:spacing w:val="-2"/>
          <w:sz w:val="32"/>
          <w:szCs w:val="32"/>
        </w:rPr>
        <w:t>1000</w:t>
      </w:r>
      <w:r>
        <w:rPr>
          <w:rFonts w:ascii="仿宋_GB2312" w:eastAsia="仿宋_GB2312" w:hAnsi="仿宋_GB2312" w:cs="仿宋_GB2312" w:hint="eastAsia"/>
          <w:spacing w:val="-2"/>
          <w:sz w:val="32"/>
          <w:szCs w:val="32"/>
        </w:rPr>
        <w:t>万元的部分为</w:t>
      </w:r>
      <w:r>
        <w:rPr>
          <w:rFonts w:ascii="仿宋_GB2312" w:eastAsia="仿宋_GB2312" w:hAnsi="仿宋_GB2312" w:cs="仿宋_GB2312" w:hint="eastAsia"/>
          <w:spacing w:val="-2"/>
          <w:sz w:val="32"/>
          <w:szCs w:val="32"/>
        </w:rPr>
        <w:t>50%</w:t>
      </w:r>
      <w:r>
        <w:rPr>
          <w:rFonts w:ascii="仿宋_GB2312" w:eastAsia="仿宋_GB2312" w:hAnsi="仿宋_GB2312" w:cs="仿宋_GB2312" w:hint="eastAsia"/>
          <w:spacing w:val="-2"/>
          <w:sz w:val="32"/>
          <w:szCs w:val="32"/>
        </w:rPr>
        <w:t>；</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（三）超过</w:t>
      </w:r>
      <w:r>
        <w:rPr>
          <w:rFonts w:ascii="仿宋_GB2312" w:eastAsia="仿宋_GB2312" w:hAnsi="仿宋_GB2312" w:cs="仿宋_GB2312" w:hint="eastAsia"/>
          <w:spacing w:val="-2"/>
          <w:sz w:val="32"/>
          <w:szCs w:val="32"/>
        </w:rPr>
        <w:t>1000</w:t>
      </w:r>
      <w:r>
        <w:rPr>
          <w:rFonts w:ascii="仿宋_GB2312" w:eastAsia="仿宋_GB2312" w:hAnsi="仿宋_GB2312" w:cs="仿宋_GB2312" w:hint="eastAsia"/>
          <w:spacing w:val="-2"/>
          <w:sz w:val="32"/>
          <w:szCs w:val="32"/>
        </w:rPr>
        <w:t>万元的部分为</w:t>
      </w:r>
      <w:r>
        <w:rPr>
          <w:rFonts w:ascii="仿宋_GB2312" w:eastAsia="仿宋_GB2312" w:hAnsi="仿宋_GB2312" w:cs="仿宋_GB2312" w:hint="eastAsia"/>
          <w:spacing w:val="-2"/>
          <w:sz w:val="32"/>
          <w:szCs w:val="32"/>
        </w:rPr>
        <w:t>40%</w:t>
      </w:r>
      <w:r>
        <w:rPr>
          <w:rFonts w:ascii="仿宋_GB2312" w:eastAsia="仿宋_GB2312" w:hAnsi="仿宋_GB2312" w:cs="仿宋_GB2312" w:hint="eastAsia"/>
          <w:spacing w:val="-2"/>
          <w:sz w:val="32"/>
          <w:szCs w:val="32"/>
        </w:rPr>
        <w:t>。</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第二十三条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实施过程中，项目预算有以下情况确需调剂的，应当按相关程序报自然科学基金委审批。</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（一）由于研究内容或者研究计划</w:t>
      </w:r>
      <w:proofErr w:type="gramStart"/>
      <w:r>
        <w:rPr>
          <w:rFonts w:ascii="仿宋_GB2312" w:eastAsia="仿宋_GB2312" w:hAnsi="仿宋_GB2312" w:cs="仿宋_GB2312" w:hint="eastAsia"/>
          <w:spacing w:val="-2"/>
          <w:sz w:val="32"/>
          <w:szCs w:val="32"/>
        </w:rPr>
        <w:t>作出</w:t>
      </w:r>
      <w:proofErr w:type="gramEnd"/>
      <w:r>
        <w:rPr>
          <w:rFonts w:ascii="仿宋_GB2312" w:eastAsia="仿宋_GB2312" w:hAnsi="仿宋_GB2312" w:cs="仿宋_GB2312" w:hint="eastAsia"/>
          <w:spacing w:val="-2"/>
          <w:sz w:val="32"/>
          <w:szCs w:val="32"/>
        </w:rPr>
        <w:t>重大调整等原因需要对预算总额进行调剂的；</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（二</w:t>
      </w:r>
      <w:r>
        <w:rPr>
          <w:rFonts w:ascii="仿宋_GB2312" w:eastAsia="仿宋_GB2312" w:hAnsi="仿宋_GB2312" w:cs="仿宋_GB2312" w:hint="eastAsia"/>
          <w:spacing w:val="-2"/>
          <w:sz w:val="32"/>
          <w:szCs w:val="32"/>
        </w:rPr>
        <w:t>）同一项目课题之间资金需要调剂的。</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第二十四条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预算</w:t>
      </w:r>
      <w:proofErr w:type="gramStart"/>
      <w:r>
        <w:rPr>
          <w:rFonts w:ascii="仿宋_GB2312" w:eastAsia="仿宋_GB2312" w:hAnsi="仿宋_GB2312" w:cs="仿宋_GB2312" w:hint="eastAsia"/>
          <w:spacing w:val="-2"/>
          <w:sz w:val="32"/>
          <w:szCs w:val="32"/>
        </w:rPr>
        <w:t>制项目</w:t>
      </w:r>
      <w:proofErr w:type="gramEnd"/>
      <w:r>
        <w:rPr>
          <w:rFonts w:ascii="仿宋_GB2312" w:eastAsia="仿宋_GB2312" w:hAnsi="仿宋_GB2312" w:cs="仿宋_GB2312" w:hint="eastAsia"/>
          <w:spacing w:val="-2"/>
          <w:sz w:val="32"/>
          <w:szCs w:val="32"/>
        </w:rPr>
        <w:t>实施过程中，在项目预算额度不变的情况下，预算确需调剂的，按以下规定予以调剂：</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（一）设备费预算如需调剂，由项目负责人根据科研活动的实际需要提出申请，报依托单位审批。依托单位应当统</w:t>
      </w:r>
      <w:r>
        <w:rPr>
          <w:rFonts w:ascii="仿宋_GB2312" w:eastAsia="仿宋_GB2312" w:hAnsi="仿宋_GB2312" w:cs="仿宋_GB2312" w:hint="eastAsia"/>
          <w:spacing w:val="-2"/>
          <w:sz w:val="32"/>
          <w:szCs w:val="32"/>
        </w:rPr>
        <w:lastRenderedPageBreak/>
        <w:t>筹考虑现有设备配置情况、科研项目实际需求等，及时办理调剂手续。</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（二）劳务费、业务费预算如需调剂，由项目负责人根据科研活动实际需要自主安排。</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（三）项目间接费用预算总额不得调增，依托单位与项目负责人协商一致后可调减用于直接费用。</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第二</w:t>
      </w:r>
      <w:r>
        <w:rPr>
          <w:rFonts w:ascii="黑体" w:eastAsia="黑体" w:hAnsi="黑体" w:cs="黑体" w:hint="eastAsia"/>
          <w:spacing w:val="-2"/>
          <w:sz w:val="32"/>
          <w:szCs w:val="32"/>
        </w:rPr>
        <w:t>十五条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对于需开展中期项目检查的预算制项目，可由自然科学基金委组织专家同步对资金的使用进行检查或评估。</w:t>
      </w:r>
    </w:p>
    <w:p w:rsidR="00E215B0" w:rsidRDefault="00E215B0">
      <w:pPr>
        <w:widowControl/>
        <w:spacing w:line="560" w:lineRule="exact"/>
        <w:ind w:firstLineChars="179" w:firstLine="573"/>
        <w:rPr>
          <w:rFonts w:ascii="仿宋_GB2312" w:eastAsia="仿宋_GB2312"/>
          <w:b/>
          <w:sz w:val="32"/>
          <w:szCs w:val="32"/>
        </w:rPr>
      </w:pPr>
    </w:p>
    <w:p w:rsidR="00E215B0" w:rsidRDefault="00A71682">
      <w:pPr>
        <w:widowControl/>
        <w:spacing w:afterLines="50" w:after="156" w:line="560" w:lineRule="exact"/>
        <w:jc w:val="center"/>
        <w:rPr>
          <w:rFonts w:ascii="黑体" w:eastAsia="黑体" w:hAnsi="Arial" w:cs="Arial"/>
          <w:bCs/>
          <w:color w:val="000000"/>
          <w:kern w:val="0"/>
          <w:sz w:val="32"/>
          <w:szCs w:val="32"/>
        </w:rPr>
      </w:pPr>
      <w:r>
        <w:rPr>
          <w:rFonts w:ascii="黑体" w:eastAsia="黑体" w:hAnsi="Arial" w:cs="Arial" w:hint="eastAsia"/>
          <w:bCs/>
          <w:color w:val="000000"/>
          <w:kern w:val="0"/>
          <w:sz w:val="32"/>
          <w:szCs w:val="32"/>
        </w:rPr>
        <w:t>第五章</w:t>
      </w:r>
      <w:r>
        <w:rPr>
          <w:rFonts w:ascii="黑体" w:eastAsia="黑体" w:hAnsi="Arial" w:cs="Arial" w:hint="eastAsia"/>
          <w:bCs/>
          <w:color w:val="000000"/>
          <w:kern w:val="0"/>
          <w:sz w:val="32"/>
          <w:szCs w:val="32"/>
        </w:rPr>
        <w:t xml:space="preserve">  </w:t>
      </w:r>
      <w:r>
        <w:rPr>
          <w:rFonts w:ascii="黑体" w:eastAsia="黑体" w:hAnsi="Arial" w:cs="Arial" w:hint="eastAsia"/>
          <w:bCs/>
          <w:color w:val="000000"/>
          <w:kern w:val="0"/>
          <w:sz w:val="32"/>
          <w:szCs w:val="32"/>
        </w:rPr>
        <w:t>预算执行与决算</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第二十六条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自然科学基金委应当按照国库集中支付制度规定，根据不同类型科研项目特点、研究进度、资金需求等，合理制定经费拨付计划并在资助项目计划</w:t>
      </w:r>
      <w:proofErr w:type="gramStart"/>
      <w:r>
        <w:rPr>
          <w:rFonts w:ascii="仿宋_GB2312" w:eastAsia="仿宋_GB2312" w:hAnsi="仿宋_GB2312" w:cs="仿宋_GB2312" w:hint="eastAsia"/>
          <w:spacing w:val="-2"/>
          <w:sz w:val="32"/>
          <w:szCs w:val="32"/>
        </w:rPr>
        <w:t>书签订</w:t>
      </w:r>
      <w:proofErr w:type="gramEnd"/>
      <w:r>
        <w:rPr>
          <w:rFonts w:ascii="仿宋_GB2312" w:eastAsia="仿宋_GB2312" w:hAnsi="仿宋_GB2312" w:cs="仿宋_GB2312" w:hint="eastAsia"/>
          <w:spacing w:val="-2"/>
          <w:sz w:val="32"/>
          <w:szCs w:val="32"/>
        </w:rPr>
        <w:t>后</w:t>
      </w:r>
      <w:r>
        <w:rPr>
          <w:rFonts w:ascii="仿宋_GB2312" w:eastAsia="仿宋_GB2312" w:hAnsi="仿宋_GB2312" w:cs="仿宋_GB2312" w:hint="eastAsia"/>
          <w:spacing w:val="-2"/>
          <w:sz w:val="32"/>
          <w:szCs w:val="32"/>
        </w:rPr>
        <w:t>30</w:t>
      </w:r>
      <w:r>
        <w:rPr>
          <w:rFonts w:ascii="仿宋_GB2312" w:eastAsia="仿宋_GB2312" w:hAnsi="仿宋_GB2312" w:cs="仿宋_GB2312" w:hint="eastAsia"/>
          <w:spacing w:val="-2"/>
          <w:sz w:val="32"/>
          <w:szCs w:val="32"/>
        </w:rPr>
        <w:t>日内，将经费按计划拨付至依托单位，切实保障科研活动需要。</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有多个单位共同承担一个项目的，依托单位应当及时按资助项目计划书和合同转拨合作研究单位资金，并加强对转拨资金的监督管理。</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项目负责人应当结合科研</w:t>
      </w:r>
      <w:r>
        <w:rPr>
          <w:rFonts w:ascii="仿宋_GB2312" w:eastAsia="仿宋_GB2312" w:hAnsi="仿宋_GB2312" w:cs="仿宋_GB2312" w:hint="eastAsia"/>
          <w:spacing w:val="-2"/>
          <w:sz w:val="32"/>
          <w:szCs w:val="32"/>
        </w:rPr>
        <w:t>活动需要，科学合理安排项目资金支出进度。依托单位应当关注项目资金执行进度，有效提高资金使用效益。</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第二十七条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项目资金管理使用不得存在以下行为：</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（一）编报虚假预算；</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lastRenderedPageBreak/>
        <w:t xml:space="preserve">    </w:t>
      </w:r>
      <w:r>
        <w:rPr>
          <w:rFonts w:ascii="仿宋_GB2312" w:eastAsia="仿宋_GB2312" w:hAnsi="仿宋_GB2312" w:cs="仿宋_GB2312" w:hint="eastAsia"/>
          <w:spacing w:val="-2"/>
          <w:sz w:val="32"/>
          <w:szCs w:val="32"/>
        </w:rPr>
        <w:t>（二）未对项目资金进行单独核算；</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（三）列支与本项目任务无关的支出；</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（四）未按规定执行和调剂预算、违反规定转拨项目资金；</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（五）虚假承诺其他来源资金；</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（六）通过虚假合同、虚假票据、虚构事项、虚报人员等弄虚作假，转移、套取、报销项目资金；</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（七）截留、挤占、挪用项目资金；</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（八）设置账外账、随意调账变动支出、随意修改</w:t>
      </w:r>
      <w:hyperlink r:id="rId8" w:tgtFrame="http://emuch.net/html/201505/_blank" w:history="1">
        <w:r>
          <w:rPr>
            <w:rFonts w:ascii="仿宋_GB2312" w:eastAsia="仿宋_GB2312" w:hAnsi="仿宋_GB2312" w:cs="仿宋_GB2312" w:hint="eastAsia"/>
            <w:spacing w:val="-2"/>
            <w:sz w:val="32"/>
            <w:szCs w:val="32"/>
          </w:rPr>
          <w:t>记账</w:t>
        </w:r>
      </w:hyperlink>
      <w:r>
        <w:rPr>
          <w:rFonts w:ascii="仿宋_GB2312" w:eastAsia="仿宋_GB2312" w:hAnsi="仿宋_GB2312" w:cs="仿宋_GB2312" w:hint="eastAsia"/>
          <w:spacing w:val="-2"/>
          <w:sz w:val="32"/>
          <w:szCs w:val="32"/>
        </w:rPr>
        <w:t>凭证、提供虚假财务会计资料等；</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（九）使用项目资金列支应当由个人负担的有关费用和支付各种罚款、捐款、赞助、投资、偿还债务等；</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（十）其</w:t>
      </w:r>
      <w:r>
        <w:rPr>
          <w:rFonts w:ascii="仿宋_GB2312" w:eastAsia="仿宋_GB2312" w:hAnsi="仿宋_GB2312" w:cs="仿宋_GB2312" w:hint="eastAsia"/>
          <w:spacing w:val="-2"/>
          <w:sz w:val="32"/>
          <w:szCs w:val="32"/>
        </w:rPr>
        <w:t>他违反国家财经纪律的行为。</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第二十八条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项目资助期满后，项目负责人应当会同科研、财务、资产等管理部门及时清理账目与资产，如实编制项目决算。</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有多个单位共同承担一个项目的，依托单位的项目负责人和合作研究单位的参与者应当分别编报项目决算，经所在单位科研、财务管理部门审核并签署意见后，由依托单位项目负责人汇总编制。</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依托单位应当组织其科研、财务管理部门审核项目决算，并签署意见后报自然科学基金委。</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第二十九条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自然科学基金委准予结题的项目，结余资</w:t>
      </w:r>
      <w:r>
        <w:rPr>
          <w:rFonts w:ascii="仿宋_GB2312" w:eastAsia="仿宋_GB2312" w:hAnsi="仿宋_GB2312" w:cs="仿宋_GB2312" w:hint="eastAsia"/>
          <w:spacing w:val="-2"/>
          <w:sz w:val="32"/>
          <w:szCs w:val="32"/>
        </w:rPr>
        <w:lastRenderedPageBreak/>
        <w:t>金留归依</w:t>
      </w:r>
      <w:proofErr w:type="gramStart"/>
      <w:r>
        <w:rPr>
          <w:rFonts w:ascii="仿宋_GB2312" w:eastAsia="仿宋_GB2312" w:hAnsi="仿宋_GB2312" w:cs="仿宋_GB2312" w:hint="eastAsia"/>
          <w:spacing w:val="-2"/>
          <w:sz w:val="32"/>
          <w:szCs w:val="32"/>
        </w:rPr>
        <w:t>托单位</w:t>
      </w:r>
      <w:proofErr w:type="gramEnd"/>
      <w:r>
        <w:rPr>
          <w:rFonts w:ascii="仿宋_GB2312" w:eastAsia="仿宋_GB2312" w:hAnsi="仿宋_GB2312" w:cs="仿宋_GB2312" w:hint="eastAsia"/>
          <w:spacing w:val="-2"/>
          <w:sz w:val="32"/>
          <w:szCs w:val="32"/>
        </w:rPr>
        <w:t>使用。依托单位应当将</w:t>
      </w:r>
      <w:r>
        <w:rPr>
          <w:rFonts w:ascii="仿宋_GB2312" w:eastAsia="仿宋_GB2312" w:hAnsi="仿宋_GB2312" w:cs="仿宋_GB2312" w:hint="eastAsia"/>
          <w:spacing w:val="-2"/>
          <w:sz w:val="32"/>
          <w:szCs w:val="32"/>
        </w:rPr>
        <w:t>结余资金统筹安排用于基础研究直接支出，优先考虑原项目团队科研需求，并加强结余资金管理，健全结余资金盘活机制，加快资金使用进度。</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自然科学基金委不予结题的项目，依托单位应当负责将结余资金在通知书下达后</w:t>
      </w:r>
      <w:r>
        <w:rPr>
          <w:rFonts w:ascii="仿宋_GB2312" w:eastAsia="仿宋_GB2312" w:hAnsi="仿宋_GB2312" w:cs="仿宋_GB2312" w:hint="eastAsia"/>
          <w:spacing w:val="-2"/>
          <w:sz w:val="32"/>
          <w:szCs w:val="32"/>
        </w:rPr>
        <w:t>30</w:t>
      </w:r>
      <w:r>
        <w:rPr>
          <w:rFonts w:ascii="仿宋_GB2312" w:eastAsia="仿宋_GB2312" w:hAnsi="仿宋_GB2312" w:cs="仿宋_GB2312" w:hint="eastAsia"/>
          <w:spacing w:val="-2"/>
          <w:sz w:val="32"/>
          <w:szCs w:val="32"/>
        </w:rPr>
        <w:t>日内按原渠道退回自然科学基金委。</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项目实施过程中，因故终止执行的项目，依托单位应当负责将结余资金按原渠道退回自然科学基金委。</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因故被依法撤销的项目，依托单位应当负责将已拨付的资金全部按原渠道退回自然科学基金委。</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依托单位发生变更的项目，原依托单位应当及时向新依托单位</w:t>
      </w:r>
      <w:r>
        <w:rPr>
          <w:rFonts w:ascii="仿宋_GB2312" w:eastAsia="仿宋_GB2312" w:hAnsi="仿宋_GB2312" w:cs="仿宋_GB2312" w:hint="eastAsia"/>
          <w:spacing w:val="-2"/>
          <w:sz w:val="32"/>
          <w:szCs w:val="32"/>
        </w:rPr>
        <w:t>转拨需转拨的项目资金。</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第三十一条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第三十二条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在项目实施过程中，依托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w:t>
      </w:r>
      <w:r>
        <w:rPr>
          <w:rFonts w:ascii="仿宋_GB2312" w:eastAsia="仿宋_GB2312" w:hAnsi="仿宋_GB2312" w:cs="仿宋_GB2312" w:hint="eastAsia"/>
          <w:spacing w:val="-2"/>
          <w:sz w:val="32"/>
          <w:szCs w:val="32"/>
        </w:rPr>
        <w:t>。对野外考察、</w:t>
      </w:r>
      <w:r>
        <w:rPr>
          <w:rFonts w:ascii="仿宋_GB2312" w:eastAsia="仿宋_GB2312" w:hAnsi="仿宋_GB2312" w:cs="仿宋_GB2312" w:hint="eastAsia"/>
          <w:spacing w:val="-2"/>
          <w:sz w:val="32"/>
          <w:szCs w:val="32"/>
        </w:rPr>
        <w:lastRenderedPageBreak/>
        <w:t>心理测试等科研活动中无法取得发票或者财政性票据的，在确保真实性的前提下，可按实际发生额予以报销。</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第三十三条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依托单位应当优化和完善内部管理规定，简化科研仪器设备采购流程。对科研急需的设备和耗材采用</w:t>
      </w:r>
      <w:proofErr w:type="gramStart"/>
      <w:r>
        <w:rPr>
          <w:rFonts w:ascii="仿宋_GB2312" w:eastAsia="仿宋_GB2312" w:hAnsi="仿宋_GB2312" w:cs="仿宋_GB2312" w:hint="eastAsia"/>
          <w:spacing w:val="-2"/>
          <w:sz w:val="32"/>
          <w:szCs w:val="32"/>
        </w:rPr>
        <w:t>特</w:t>
      </w:r>
      <w:proofErr w:type="gramEnd"/>
      <w:r>
        <w:rPr>
          <w:rFonts w:ascii="仿宋_GB2312" w:eastAsia="仿宋_GB2312" w:hAnsi="仿宋_GB2312" w:cs="仿宋_GB2312" w:hint="eastAsia"/>
          <w:spacing w:val="-2"/>
          <w:sz w:val="32"/>
          <w:szCs w:val="32"/>
        </w:rPr>
        <w:t>事特办、随到随办的采购机制，可以不进行招标投标程序。</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实施过程中，行政事业单位使用项目资金形成的固定资产属于国有资产，应当按照国家有关国有资产管理的规定执行。企业使用项目资金形成的固定资产，按照《企业财务通则》等相关规章制度执行。项目资金形成的知识产权等无形资产的管理，按照国</w:t>
      </w:r>
      <w:r>
        <w:rPr>
          <w:rFonts w:ascii="仿宋_GB2312" w:eastAsia="仿宋_GB2312" w:hAnsi="仿宋_GB2312" w:cs="仿宋_GB2312" w:hint="eastAsia"/>
          <w:spacing w:val="-2"/>
          <w:sz w:val="32"/>
          <w:szCs w:val="32"/>
        </w:rPr>
        <w:t>家有关规定执行。使用项目资金形成的大型科学仪器设备、科学数据、自然科技资源等，按照规定开放共享。</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第三十四条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依托单位要切实强化法人责任，制定内部管理办法，落实项目预算调剂、间接费用统筹使用、劳务费管理、结余资金使用等管理权限。</w:t>
      </w:r>
    </w:p>
    <w:p w:rsidR="00E215B0" w:rsidRDefault="00A71682">
      <w:pPr>
        <w:pStyle w:val="a5"/>
        <w:autoSpaceDE w:val="0"/>
        <w:autoSpaceDN w:val="0"/>
        <w:adjustRightInd w:val="0"/>
        <w:snapToGrid w:val="0"/>
        <w:spacing w:line="588" w:lineRule="atLeast"/>
        <w:rPr>
          <w:rFonts w:ascii="仿宋_GB2312" w:eastAsia="仿宋_GB231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第三十五条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依托单位根</w:t>
      </w:r>
      <w:r>
        <w:rPr>
          <w:rFonts w:ascii="仿宋_GB2312" w:eastAsia="仿宋_GB2312" w:hAnsi="仿宋_GB2312" w:cs="仿宋_GB2312" w:hint="eastAsia"/>
          <w:spacing w:val="-2"/>
          <w:sz w:val="32"/>
          <w:szCs w:val="32"/>
        </w:rPr>
        <w:t>据情况通过科研项目经费等渠道统筹解决。应当改进财务报销管理方式，充分利用信息化手段，建立符合科研实际需要的内部报销机制。</w:t>
      </w:r>
    </w:p>
    <w:p w:rsidR="00E215B0" w:rsidRDefault="00E215B0">
      <w:pPr>
        <w:widowControl/>
        <w:spacing w:line="560" w:lineRule="exact"/>
        <w:ind w:firstLineChars="179" w:firstLine="573"/>
        <w:rPr>
          <w:rFonts w:ascii="仿宋_GB2312" w:eastAsia="仿宋_GB2312"/>
          <w:sz w:val="32"/>
          <w:szCs w:val="32"/>
        </w:rPr>
      </w:pPr>
    </w:p>
    <w:p w:rsidR="00E215B0" w:rsidRDefault="00A71682">
      <w:pPr>
        <w:widowControl/>
        <w:spacing w:afterLines="50" w:after="156" w:line="560" w:lineRule="exact"/>
        <w:jc w:val="center"/>
        <w:rPr>
          <w:rFonts w:ascii="仿宋_GB2312" w:eastAsia="仿宋_GB2312" w:hAnsi="Arial" w:cs="Arial"/>
          <w:b/>
          <w:bCs/>
          <w:color w:val="000000"/>
          <w:sz w:val="32"/>
          <w:szCs w:val="32"/>
        </w:rPr>
      </w:pPr>
      <w:r>
        <w:rPr>
          <w:rFonts w:ascii="黑体" w:eastAsia="黑体" w:hAnsi="Arial" w:cs="Arial" w:hint="eastAsia"/>
          <w:color w:val="000000"/>
          <w:kern w:val="0"/>
          <w:sz w:val="32"/>
          <w:szCs w:val="32"/>
        </w:rPr>
        <w:t>第六章</w:t>
      </w:r>
      <w:r>
        <w:rPr>
          <w:rFonts w:ascii="黑体" w:eastAsia="黑体" w:hAnsi="Arial" w:cs="Arial" w:hint="eastAsia"/>
          <w:color w:val="000000"/>
          <w:kern w:val="0"/>
          <w:sz w:val="32"/>
          <w:szCs w:val="32"/>
        </w:rPr>
        <w:t xml:space="preserve">  </w:t>
      </w:r>
      <w:r>
        <w:rPr>
          <w:rFonts w:ascii="黑体" w:eastAsia="黑体" w:hAnsi="Arial" w:cs="Arial" w:hint="eastAsia"/>
          <w:color w:val="000000"/>
          <w:kern w:val="0"/>
          <w:sz w:val="32"/>
          <w:szCs w:val="32"/>
        </w:rPr>
        <w:t>绩效管理</w:t>
      </w:r>
      <w:r>
        <w:rPr>
          <w:rFonts w:ascii="黑体" w:eastAsia="黑体" w:hAnsi="Arial" w:cs="Arial" w:hint="eastAsia"/>
          <w:color w:val="000000"/>
          <w:kern w:val="0"/>
          <w:sz w:val="32"/>
          <w:szCs w:val="32"/>
        </w:rPr>
        <w:t>与</w:t>
      </w:r>
      <w:r>
        <w:rPr>
          <w:rFonts w:ascii="黑体" w:eastAsia="黑体" w:hAnsi="Arial" w:cs="Arial" w:hint="eastAsia"/>
          <w:color w:val="000000"/>
          <w:kern w:val="0"/>
          <w:sz w:val="32"/>
          <w:szCs w:val="32"/>
        </w:rPr>
        <w:t>监督检查</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第三十六条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应当建立项目资金绩效管理制度，对项目资金管理使用效益进行绩效评价。进一步强化绩效导向，加强分类绩效评价，对自由探索型、任务导向型等不同类型科研项目，健全差异化的绩效评价指标体系，强化绩效评价结果运用，将绩效评价结果作为项目调整、后续支持的重要依据。</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依托单位应当切实加强绩效管理，引导科研资源向优秀人才和团队倾斜，提高科研经费使用效益。</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第三十七条</w:t>
      </w:r>
      <w:r>
        <w:rPr>
          <w:rFonts w:ascii="黑体" w:eastAsia="黑体" w:hAnsi="黑体" w:cs="黑体" w:hint="eastAsia"/>
          <w:spacing w:val="-2"/>
          <w:sz w:val="32"/>
          <w:szCs w:val="32"/>
        </w:rPr>
        <w:t xml:space="preserve">  </w:t>
      </w:r>
      <w:r>
        <w:rPr>
          <w:rFonts w:ascii="仿宋_GB2312" w:eastAsia="仿宋_GB2312" w:hAnsi="仿宋_GB2312" w:cs="仿宋_GB2312" w:hint="eastAsia"/>
          <w:spacing w:val="-2"/>
          <w:sz w:val="32"/>
          <w:szCs w:val="32"/>
        </w:rPr>
        <w:t>财政部、自然科学基金委、审计署、相关主管部门、依托单位应当根据职责和分工，建立覆盖资金管理使用全过程的资金监督机制。加强审计监督、财会监督与日常监督的贯通协调，增强监督合力，加强信息共享，避免交叉重复。</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第三十八条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财政部按规定对自然科学基金项目资金管理和使用情况进行监督管理。</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第三十九条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审计署、自然科学基金委按规定对依托单位项目资金管理和使用情况进行监督检查。依托单位</w:t>
      </w:r>
      <w:r>
        <w:rPr>
          <w:rFonts w:ascii="仿宋_GB2312" w:eastAsia="仿宋_GB2312" w:hAnsi="仿宋_GB2312" w:cs="仿宋_GB2312" w:hint="eastAsia"/>
          <w:spacing w:val="-2"/>
          <w:sz w:val="32"/>
          <w:szCs w:val="32"/>
        </w:rPr>
        <w:t>和项目负责人应当积极配合并提供有关资料。</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第四十条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相关主管部门应当督促所属依托单位加强内控制度和监督制约机制建设、落实项目资金管理责任，配合财政部、自然科学基金委开展监督检查和整改工作。</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lastRenderedPageBreak/>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第四十一条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按照本办法和国家相关财经法规及财务管理规定，完善内部控制和监督制约机制，动态监管资金使用并实时预警提醒，确保资金合理规范使用；加强支撑服务条件建设，提高对科研人员的服务水平，建立常态化的自查自纠机制，保证项目资金安全。</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第四十二条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项目资金管理建立承诺机制。依托单位应</w:t>
      </w:r>
      <w:r>
        <w:rPr>
          <w:rFonts w:ascii="仿宋_GB2312" w:eastAsia="仿宋_GB2312" w:hAnsi="仿宋_GB2312" w:cs="仿宋_GB2312" w:hint="eastAsia"/>
          <w:spacing w:val="-2"/>
          <w:sz w:val="32"/>
          <w:szCs w:val="32"/>
        </w:rPr>
        <w:t>当承诺依法履行项目资金管理的职责。项目负责人应当承诺提供真实的项目信息，并认真遵守项目资金管理的有关规定。依托单位和项目负责人对违反承诺导致的后果承担相应责任。</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对依托单位和科研人员在项目资金管理使用过程中出现的失信情况，应当纳入信用记录管理，对严重失信行为实行追责和惩戒。</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第四十三条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项目资金管理建立信息公开机制。自然科学基金委应当及时公开非涉密项目预算安排情况，接受社会监督。</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依托单位应当在单位内部公开非涉密项目立项、主要研究人员、资金使用（重点是间接费用、</w:t>
      </w:r>
      <w:proofErr w:type="gramStart"/>
      <w:r>
        <w:rPr>
          <w:rFonts w:ascii="仿宋_GB2312" w:eastAsia="仿宋_GB2312" w:hAnsi="仿宋_GB2312" w:cs="仿宋_GB2312" w:hint="eastAsia"/>
          <w:spacing w:val="-2"/>
          <w:sz w:val="32"/>
          <w:szCs w:val="32"/>
        </w:rPr>
        <w:t>外拨资金</w:t>
      </w:r>
      <w:proofErr w:type="gramEnd"/>
      <w:r>
        <w:rPr>
          <w:rFonts w:ascii="仿宋_GB2312" w:eastAsia="仿宋_GB2312" w:hAnsi="仿宋_GB2312" w:cs="仿宋_GB2312" w:hint="eastAsia"/>
          <w:spacing w:val="-2"/>
          <w:sz w:val="32"/>
          <w:szCs w:val="32"/>
        </w:rPr>
        <w:t>、结余资金使</w:t>
      </w:r>
      <w:r>
        <w:rPr>
          <w:rFonts w:ascii="仿宋_GB2312" w:eastAsia="仿宋_GB2312" w:hAnsi="仿宋_GB2312" w:cs="仿宋_GB2312" w:hint="eastAsia"/>
          <w:spacing w:val="-2"/>
          <w:sz w:val="32"/>
          <w:szCs w:val="32"/>
        </w:rPr>
        <w:t>用等）、决算、大型仪器设备购置以及项目研究成果等情况，接受内部监督。</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第四十四条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任何单位和个人发现项目资金在使用和管理过程中有违规行为的，有权检举或者控告。</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第四十五条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财政部、自然科学基金委及其相关工作人员、评审专家在自然科学基金预算审核环节，自然科学基金</w:t>
      </w:r>
      <w:r>
        <w:rPr>
          <w:rFonts w:ascii="仿宋_GB2312" w:eastAsia="仿宋_GB2312" w:hAnsi="仿宋_GB2312" w:cs="仿宋_GB2312" w:hint="eastAsia"/>
          <w:spacing w:val="-2"/>
          <w:sz w:val="32"/>
          <w:szCs w:val="32"/>
        </w:rPr>
        <w:lastRenderedPageBreak/>
        <w:t>委及其相关工作人员在项目立项及其资金分配等环节，存在违反规定安排资金或其他滥用职权、玩忽职守、徇私舞弊等违法违规行为的，依法责令改正，对负有责任的领导人员和直接责任人员依法给予处分；涉嫌犯罪的，依法移送有关机关处理。</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第四十六条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依托单位及其相关工作人员、项目负责人及其团队成员对于资金管理使用过程中，不按规定管理和使用项目资金、不按时编报项目决算、不按规定进行会计核算，存在截留、挪用、侵占项目资金等违法违规行为的，按照《中华人民共和国预算法》及其实施条例、《中华人民共和国会计法》、《国家自然科学基金条例》、《财政违法行为处罚处分条例》等国家有关规定追究相应责任。涉嫌犯罪的，依法移送有关机关处理。</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第四十七条</w:t>
      </w:r>
      <w:r>
        <w:rPr>
          <w:rFonts w:ascii="黑体" w:eastAsia="黑体" w:hAnsi="黑体" w:cs="黑体" w:hint="eastAsia"/>
          <w:spacing w:val="-2"/>
          <w:sz w:val="32"/>
          <w:szCs w:val="32"/>
        </w:rPr>
        <w:t xml:space="preserve"> </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自然科学基金委对项目资金管理、监督和检查等过程中发现的问题以及收到的投诉举报依法开展调查，并依法严肃查</w:t>
      </w:r>
      <w:r>
        <w:rPr>
          <w:rFonts w:ascii="仿宋_GB2312" w:eastAsia="仿宋_GB2312" w:hAnsi="仿宋_GB2312" w:cs="仿宋_GB2312" w:hint="eastAsia"/>
          <w:spacing w:val="-2"/>
          <w:sz w:val="32"/>
          <w:szCs w:val="32"/>
        </w:rPr>
        <w:t>处违规违纪行为。</w:t>
      </w:r>
    </w:p>
    <w:p w:rsidR="00E215B0" w:rsidRDefault="00E215B0">
      <w:pPr>
        <w:widowControl/>
        <w:spacing w:line="560" w:lineRule="exact"/>
        <w:ind w:firstLineChars="179" w:firstLine="573"/>
        <w:rPr>
          <w:rFonts w:ascii="仿宋_GB2312" w:eastAsia="仿宋_GB2312" w:hAnsi="Arial" w:cs="Arial"/>
          <w:color w:val="000000"/>
          <w:kern w:val="0"/>
          <w:sz w:val="32"/>
          <w:szCs w:val="32"/>
          <w:highlight w:val="yellow"/>
        </w:rPr>
      </w:pPr>
    </w:p>
    <w:p w:rsidR="00E215B0" w:rsidRDefault="00A71682">
      <w:pPr>
        <w:pStyle w:val="10"/>
        <w:spacing w:before="0" w:beforeAutospacing="0" w:afterLines="50" w:after="156" w:afterAutospacing="0" w:line="560" w:lineRule="exact"/>
        <w:jc w:val="center"/>
        <w:rPr>
          <w:rFonts w:ascii="黑体" w:eastAsia="黑体" w:hAnsi="Arial" w:cs="Arial"/>
          <w:color w:val="000000"/>
          <w:sz w:val="32"/>
          <w:szCs w:val="32"/>
        </w:rPr>
      </w:pPr>
      <w:r>
        <w:rPr>
          <w:rFonts w:ascii="黑体" w:eastAsia="黑体" w:hAnsi="Arial" w:cs="Arial" w:hint="eastAsia"/>
          <w:color w:val="000000"/>
          <w:sz w:val="32"/>
          <w:szCs w:val="32"/>
        </w:rPr>
        <w:t>第七章</w:t>
      </w:r>
      <w:r>
        <w:rPr>
          <w:rFonts w:ascii="黑体" w:eastAsia="黑体" w:hAnsi="Arial" w:cs="Arial" w:hint="eastAsia"/>
          <w:color w:val="000000"/>
          <w:sz w:val="32"/>
          <w:szCs w:val="32"/>
        </w:rPr>
        <w:t xml:space="preserve">  </w:t>
      </w:r>
      <w:r>
        <w:rPr>
          <w:rFonts w:ascii="黑体" w:eastAsia="黑体" w:hAnsi="Arial" w:cs="Arial" w:hint="eastAsia"/>
          <w:color w:val="000000"/>
          <w:sz w:val="32"/>
          <w:szCs w:val="32"/>
        </w:rPr>
        <w:t>附</w:t>
      </w:r>
      <w:r>
        <w:rPr>
          <w:rFonts w:ascii="黑体" w:eastAsia="黑体" w:hAnsi="Arial" w:cs="Arial" w:hint="eastAsia"/>
          <w:color w:val="000000"/>
          <w:sz w:val="32"/>
          <w:szCs w:val="32"/>
        </w:rPr>
        <w:t xml:space="preserve"> </w:t>
      </w:r>
      <w:r>
        <w:rPr>
          <w:rFonts w:ascii="黑体" w:eastAsia="黑体" w:hAnsi="Arial" w:cs="Arial" w:hint="eastAsia"/>
          <w:color w:val="000000"/>
          <w:sz w:val="32"/>
          <w:szCs w:val="32"/>
        </w:rPr>
        <w:t>则</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第四十八条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本办法由财政部、自然科学基金委负责解释。</w:t>
      </w:r>
    </w:p>
    <w:p w:rsidR="00E215B0" w:rsidRDefault="00A71682">
      <w:pPr>
        <w:pStyle w:val="a5"/>
        <w:autoSpaceDE w:val="0"/>
        <w:autoSpaceDN w:val="0"/>
        <w:adjustRightInd w:val="0"/>
        <w:snapToGrid w:val="0"/>
        <w:spacing w:line="588" w:lineRule="atLeas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w:t>
      </w:r>
      <w:r>
        <w:rPr>
          <w:rFonts w:ascii="黑体" w:eastAsia="黑体" w:hAnsi="黑体" w:cs="黑体" w:hint="eastAsia"/>
          <w:spacing w:val="-2"/>
          <w:sz w:val="32"/>
          <w:szCs w:val="32"/>
        </w:rPr>
        <w:t xml:space="preserve"> </w:t>
      </w:r>
      <w:r>
        <w:rPr>
          <w:rFonts w:ascii="黑体" w:eastAsia="黑体" w:hAnsi="黑体" w:cs="黑体" w:hint="eastAsia"/>
          <w:spacing w:val="-2"/>
          <w:sz w:val="32"/>
          <w:szCs w:val="32"/>
        </w:rPr>
        <w:t>第四十九条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2"/>
          <w:sz w:val="32"/>
          <w:szCs w:val="32"/>
        </w:rPr>
        <w:t>本办法自发布之日起施行。</w:t>
      </w:r>
    </w:p>
    <w:sectPr w:rsidR="00E215B0">
      <w:footerReference w:type="even" r:id="rId9"/>
      <w:footerReference w:type="default" r:id="rId10"/>
      <w:footerReference w:type="first" r:id="rId11"/>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682" w:rsidRDefault="00A71682">
      <w:r>
        <w:separator/>
      </w:r>
    </w:p>
  </w:endnote>
  <w:endnote w:type="continuationSeparator" w:id="0">
    <w:p w:rsidR="00A71682" w:rsidRDefault="00A7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5B0" w:rsidRDefault="00A71682">
    <w:pPr>
      <w:pStyle w:val="a8"/>
      <w:framePr w:wrap="around" w:vAnchor="text" w:hAnchor="margin" w:xAlign="center" w:y="1"/>
      <w:rPr>
        <w:rStyle w:val="1"/>
      </w:rPr>
    </w:pPr>
    <w:r>
      <w:fldChar w:fldCharType="begin"/>
    </w:r>
    <w:r>
      <w:rPr>
        <w:rStyle w:val="1"/>
      </w:rPr>
      <w:instrText xml:space="preserve">PAGE  </w:instrText>
    </w:r>
    <w:r>
      <w:fldChar w:fldCharType="separate"/>
    </w:r>
    <w:r>
      <w:rPr>
        <w:rStyle w:val="1"/>
      </w:rPr>
      <w:t>1</w:t>
    </w:r>
    <w:r>
      <w:fldChar w:fldCharType="end"/>
    </w:r>
  </w:p>
  <w:p w:rsidR="00E215B0" w:rsidRDefault="00E215B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20479"/>
    </w:sdtPr>
    <w:sdtEndPr/>
    <w:sdtContent>
      <w:p w:rsidR="00E215B0" w:rsidRDefault="00A71682">
        <w:pPr>
          <w:pStyle w:val="a8"/>
          <w:jc w:val="center"/>
        </w:pPr>
        <w:r>
          <w:fldChar w:fldCharType="begin"/>
        </w:r>
        <w:r>
          <w:instrText xml:space="preserve"> PAGE   \* MERGEFORMAT </w:instrText>
        </w:r>
        <w:r>
          <w:fldChar w:fldCharType="separate"/>
        </w:r>
        <w:r>
          <w:rPr>
            <w:lang w:val="zh-CN"/>
          </w:rPr>
          <w:t>12</w:t>
        </w:r>
        <w:r>
          <w:rPr>
            <w:lang w:val="zh-CN"/>
          </w:rPr>
          <w:fldChar w:fldCharType="end"/>
        </w:r>
      </w:p>
    </w:sdtContent>
  </w:sdt>
  <w:p w:rsidR="00E215B0" w:rsidRDefault="00E215B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20480"/>
    </w:sdtPr>
    <w:sdtEndPr/>
    <w:sdtContent>
      <w:p w:rsidR="00E215B0" w:rsidRDefault="00A71682">
        <w:pPr>
          <w:pStyle w:val="a8"/>
          <w:jc w:val="center"/>
        </w:pPr>
        <w:r>
          <w:fldChar w:fldCharType="begin"/>
        </w:r>
        <w:r>
          <w:instrText xml:space="preserve"> PAGE   \* MERGEFORMAT </w:instrText>
        </w:r>
        <w:r>
          <w:fldChar w:fldCharType="separate"/>
        </w:r>
        <w:r>
          <w:rPr>
            <w:lang w:val="zh-CN"/>
          </w:rPr>
          <w:t>1</w:t>
        </w:r>
        <w:r>
          <w:rPr>
            <w:lang w:val="zh-CN"/>
          </w:rPr>
          <w:fldChar w:fldCharType="end"/>
        </w:r>
      </w:p>
    </w:sdtContent>
  </w:sdt>
  <w:p w:rsidR="00E215B0" w:rsidRDefault="00E215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682" w:rsidRDefault="00A71682">
      <w:r>
        <w:separator/>
      </w:r>
    </w:p>
  </w:footnote>
  <w:footnote w:type="continuationSeparator" w:id="0">
    <w:p w:rsidR="00A71682" w:rsidRDefault="00A71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8FEB82AC"/>
    <w:rsid w:val="9F7F3221"/>
    <w:rsid w:val="A973A39E"/>
    <w:rsid w:val="AFFF157A"/>
    <w:rsid w:val="B35B9AF8"/>
    <w:rsid w:val="B6FD857B"/>
    <w:rsid w:val="BB7FC632"/>
    <w:rsid w:val="BD33D627"/>
    <w:rsid w:val="BDECC2F3"/>
    <w:rsid w:val="BEE6B701"/>
    <w:rsid w:val="BF7CE6A0"/>
    <w:rsid w:val="BFEB5384"/>
    <w:rsid w:val="BFEF53F0"/>
    <w:rsid w:val="D1BB98EA"/>
    <w:rsid w:val="D37C5CCD"/>
    <w:rsid w:val="D5EB7C15"/>
    <w:rsid w:val="D6DB4F77"/>
    <w:rsid w:val="D9CFFF6C"/>
    <w:rsid w:val="DC792ED7"/>
    <w:rsid w:val="DF6F644F"/>
    <w:rsid w:val="DFEA533B"/>
    <w:rsid w:val="E57E25E6"/>
    <w:rsid w:val="E9FF83B0"/>
    <w:rsid w:val="EDBD9CC0"/>
    <w:rsid w:val="EE7CCC2C"/>
    <w:rsid w:val="EED74ACB"/>
    <w:rsid w:val="EF576A35"/>
    <w:rsid w:val="EF8FC11B"/>
    <w:rsid w:val="EFBD2D8E"/>
    <w:rsid w:val="EFEE4C53"/>
    <w:rsid w:val="F36F8912"/>
    <w:rsid w:val="F3DF02F5"/>
    <w:rsid w:val="F5DF787E"/>
    <w:rsid w:val="F666EF84"/>
    <w:rsid w:val="F6BB7DA0"/>
    <w:rsid w:val="F7658BD9"/>
    <w:rsid w:val="F9520368"/>
    <w:rsid w:val="F9FE506E"/>
    <w:rsid w:val="FABB4D10"/>
    <w:rsid w:val="FB5F2883"/>
    <w:rsid w:val="FB775B34"/>
    <w:rsid w:val="FB7F5B1B"/>
    <w:rsid w:val="FBDD4CCD"/>
    <w:rsid w:val="FBDF3B40"/>
    <w:rsid w:val="FBDFF8FF"/>
    <w:rsid w:val="FBEFA42D"/>
    <w:rsid w:val="FCEB37CD"/>
    <w:rsid w:val="FCEECFE0"/>
    <w:rsid w:val="FD78AF6E"/>
    <w:rsid w:val="FDDEE048"/>
    <w:rsid w:val="FDF512A4"/>
    <w:rsid w:val="FDFF8725"/>
    <w:rsid w:val="FEF70681"/>
    <w:rsid w:val="FF5F1D10"/>
    <w:rsid w:val="FF7D0D12"/>
    <w:rsid w:val="FFBF36C9"/>
    <w:rsid w:val="FFCF98E5"/>
    <w:rsid w:val="FFDF8EE7"/>
    <w:rsid w:val="FFF5DDEA"/>
    <w:rsid w:val="FFF79918"/>
    <w:rsid w:val="00002975"/>
    <w:rsid w:val="00003809"/>
    <w:rsid w:val="00005248"/>
    <w:rsid w:val="000059D7"/>
    <w:rsid w:val="00005C24"/>
    <w:rsid w:val="0000646A"/>
    <w:rsid w:val="000067D5"/>
    <w:rsid w:val="0001036E"/>
    <w:rsid w:val="00014340"/>
    <w:rsid w:val="00014351"/>
    <w:rsid w:val="00015456"/>
    <w:rsid w:val="0002192B"/>
    <w:rsid w:val="00021986"/>
    <w:rsid w:val="000220A5"/>
    <w:rsid w:val="00022BD1"/>
    <w:rsid w:val="00035D4C"/>
    <w:rsid w:val="00036F1F"/>
    <w:rsid w:val="00043822"/>
    <w:rsid w:val="0004532F"/>
    <w:rsid w:val="000472E6"/>
    <w:rsid w:val="00054145"/>
    <w:rsid w:val="0005583C"/>
    <w:rsid w:val="00060620"/>
    <w:rsid w:val="00066763"/>
    <w:rsid w:val="0007332D"/>
    <w:rsid w:val="00074014"/>
    <w:rsid w:val="00074117"/>
    <w:rsid w:val="00075FE5"/>
    <w:rsid w:val="00076FEB"/>
    <w:rsid w:val="00084AC8"/>
    <w:rsid w:val="000856A4"/>
    <w:rsid w:val="00090B5E"/>
    <w:rsid w:val="000912C5"/>
    <w:rsid w:val="00092293"/>
    <w:rsid w:val="00093BF9"/>
    <w:rsid w:val="00097F6C"/>
    <w:rsid w:val="000A64D8"/>
    <w:rsid w:val="000A7243"/>
    <w:rsid w:val="000B5F61"/>
    <w:rsid w:val="000B7B85"/>
    <w:rsid w:val="000C3990"/>
    <w:rsid w:val="000C673C"/>
    <w:rsid w:val="000D2EAE"/>
    <w:rsid w:val="000D5D42"/>
    <w:rsid w:val="000D5D57"/>
    <w:rsid w:val="000D5FB0"/>
    <w:rsid w:val="000E2A45"/>
    <w:rsid w:val="000E406F"/>
    <w:rsid w:val="000E53AB"/>
    <w:rsid w:val="000F5859"/>
    <w:rsid w:val="000F6124"/>
    <w:rsid w:val="000F70FA"/>
    <w:rsid w:val="001104DF"/>
    <w:rsid w:val="00110AAA"/>
    <w:rsid w:val="00113B8A"/>
    <w:rsid w:val="00114476"/>
    <w:rsid w:val="00123A86"/>
    <w:rsid w:val="00133A96"/>
    <w:rsid w:val="00136F72"/>
    <w:rsid w:val="0014342E"/>
    <w:rsid w:val="00151A2D"/>
    <w:rsid w:val="00152130"/>
    <w:rsid w:val="001607CD"/>
    <w:rsid w:val="00165653"/>
    <w:rsid w:val="00166723"/>
    <w:rsid w:val="0017288A"/>
    <w:rsid w:val="00172A27"/>
    <w:rsid w:val="00174D1F"/>
    <w:rsid w:val="001751FA"/>
    <w:rsid w:val="00175D55"/>
    <w:rsid w:val="001809C2"/>
    <w:rsid w:val="001825E8"/>
    <w:rsid w:val="00183FD3"/>
    <w:rsid w:val="00193385"/>
    <w:rsid w:val="001934F1"/>
    <w:rsid w:val="00194993"/>
    <w:rsid w:val="001A578E"/>
    <w:rsid w:val="001B098E"/>
    <w:rsid w:val="001B0BAC"/>
    <w:rsid w:val="001C08AD"/>
    <w:rsid w:val="001C22FB"/>
    <w:rsid w:val="001C3288"/>
    <w:rsid w:val="001C4A4C"/>
    <w:rsid w:val="001D35CA"/>
    <w:rsid w:val="001D35DA"/>
    <w:rsid w:val="001D3B2E"/>
    <w:rsid w:val="001D4AD2"/>
    <w:rsid w:val="001D5B4D"/>
    <w:rsid w:val="001D7F90"/>
    <w:rsid w:val="001E0702"/>
    <w:rsid w:val="001E1F41"/>
    <w:rsid w:val="001E21B9"/>
    <w:rsid w:val="001E5B15"/>
    <w:rsid w:val="001E5E7D"/>
    <w:rsid w:val="001F0127"/>
    <w:rsid w:val="001F1CD3"/>
    <w:rsid w:val="001F37AA"/>
    <w:rsid w:val="001F3E3E"/>
    <w:rsid w:val="001F4259"/>
    <w:rsid w:val="001F5540"/>
    <w:rsid w:val="00200579"/>
    <w:rsid w:val="002025CF"/>
    <w:rsid w:val="00205596"/>
    <w:rsid w:val="00210115"/>
    <w:rsid w:val="00211004"/>
    <w:rsid w:val="00221B75"/>
    <w:rsid w:val="002234B2"/>
    <w:rsid w:val="002237C1"/>
    <w:rsid w:val="00224F59"/>
    <w:rsid w:val="00226971"/>
    <w:rsid w:val="00233D9E"/>
    <w:rsid w:val="00237BC1"/>
    <w:rsid w:val="002428FD"/>
    <w:rsid w:val="002433C1"/>
    <w:rsid w:val="00243462"/>
    <w:rsid w:val="00244CB1"/>
    <w:rsid w:val="00245CA4"/>
    <w:rsid w:val="00246624"/>
    <w:rsid w:val="00257F48"/>
    <w:rsid w:val="00263AEF"/>
    <w:rsid w:val="00271417"/>
    <w:rsid w:val="002741C4"/>
    <w:rsid w:val="00277A8D"/>
    <w:rsid w:val="00280F91"/>
    <w:rsid w:val="002811D8"/>
    <w:rsid w:val="0028164F"/>
    <w:rsid w:val="00281DBB"/>
    <w:rsid w:val="00284CA2"/>
    <w:rsid w:val="00290251"/>
    <w:rsid w:val="0029163C"/>
    <w:rsid w:val="00294F5D"/>
    <w:rsid w:val="002952C3"/>
    <w:rsid w:val="0029641D"/>
    <w:rsid w:val="002A5D3B"/>
    <w:rsid w:val="002A6816"/>
    <w:rsid w:val="002A6DBD"/>
    <w:rsid w:val="002A767A"/>
    <w:rsid w:val="002C05E0"/>
    <w:rsid w:val="002D079C"/>
    <w:rsid w:val="002D0A4B"/>
    <w:rsid w:val="002D2F3C"/>
    <w:rsid w:val="002D498F"/>
    <w:rsid w:val="002D5416"/>
    <w:rsid w:val="002E24D2"/>
    <w:rsid w:val="002E62B8"/>
    <w:rsid w:val="002F21CB"/>
    <w:rsid w:val="002F3584"/>
    <w:rsid w:val="002F468E"/>
    <w:rsid w:val="002F63E6"/>
    <w:rsid w:val="00303299"/>
    <w:rsid w:val="00311E27"/>
    <w:rsid w:val="00312047"/>
    <w:rsid w:val="00313701"/>
    <w:rsid w:val="00314B5B"/>
    <w:rsid w:val="00316B93"/>
    <w:rsid w:val="0032242F"/>
    <w:rsid w:val="0032293D"/>
    <w:rsid w:val="00322C36"/>
    <w:rsid w:val="00324A42"/>
    <w:rsid w:val="00335311"/>
    <w:rsid w:val="00335DE4"/>
    <w:rsid w:val="003370C6"/>
    <w:rsid w:val="0033765B"/>
    <w:rsid w:val="003417DD"/>
    <w:rsid w:val="00343522"/>
    <w:rsid w:val="00355A08"/>
    <w:rsid w:val="00360D05"/>
    <w:rsid w:val="0036157F"/>
    <w:rsid w:val="0037435B"/>
    <w:rsid w:val="003752FE"/>
    <w:rsid w:val="003810CC"/>
    <w:rsid w:val="00386A50"/>
    <w:rsid w:val="00387C1A"/>
    <w:rsid w:val="003947AD"/>
    <w:rsid w:val="0039565B"/>
    <w:rsid w:val="003A0878"/>
    <w:rsid w:val="003A1EBA"/>
    <w:rsid w:val="003A301F"/>
    <w:rsid w:val="003A35A6"/>
    <w:rsid w:val="003A5318"/>
    <w:rsid w:val="003A7EF4"/>
    <w:rsid w:val="003B062C"/>
    <w:rsid w:val="003B1579"/>
    <w:rsid w:val="003B25C7"/>
    <w:rsid w:val="003C022D"/>
    <w:rsid w:val="003C4683"/>
    <w:rsid w:val="003D0D50"/>
    <w:rsid w:val="003D3315"/>
    <w:rsid w:val="003E547F"/>
    <w:rsid w:val="003E675E"/>
    <w:rsid w:val="003F1758"/>
    <w:rsid w:val="003F2198"/>
    <w:rsid w:val="003F2F1B"/>
    <w:rsid w:val="003F314C"/>
    <w:rsid w:val="003F4FBC"/>
    <w:rsid w:val="00401534"/>
    <w:rsid w:val="00402DF7"/>
    <w:rsid w:val="00403076"/>
    <w:rsid w:val="00403B32"/>
    <w:rsid w:val="004044BB"/>
    <w:rsid w:val="00406D79"/>
    <w:rsid w:val="004133DC"/>
    <w:rsid w:val="004153FE"/>
    <w:rsid w:val="00422065"/>
    <w:rsid w:val="0042530A"/>
    <w:rsid w:val="00437285"/>
    <w:rsid w:val="0043731C"/>
    <w:rsid w:val="00441C02"/>
    <w:rsid w:val="004447D0"/>
    <w:rsid w:val="00444C18"/>
    <w:rsid w:val="00447E44"/>
    <w:rsid w:val="0045065C"/>
    <w:rsid w:val="0045612C"/>
    <w:rsid w:val="00456BF1"/>
    <w:rsid w:val="00457237"/>
    <w:rsid w:val="0045724B"/>
    <w:rsid w:val="00463792"/>
    <w:rsid w:val="0046450B"/>
    <w:rsid w:val="0046786F"/>
    <w:rsid w:val="00470900"/>
    <w:rsid w:val="0047188B"/>
    <w:rsid w:val="004726B2"/>
    <w:rsid w:val="00475179"/>
    <w:rsid w:val="004800E0"/>
    <w:rsid w:val="00481FFA"/>
    <w:rsid w:val="004838E0"/>
    <w:rsid w:val="004865B8"/>
    <w:rsid w:val="004A3F1F"/>
    <w:rsid w:val="004B343F"/>
    <w:rsid w:val="004B46F5"/>
    <w:rsid w:val="004C3418"/>
    <w:rsid w:val="004C595B"/>
    <w:rsid w:val="004D1E9D"/>
    <w:rsid w:val="004D22A8"/>
    <w:rsid w:val="004D3607"/>
    <w:rsid w:val="004E4671"/>
    <w:rsid w:val="004F1E69"/>
    <w:rsid w:val="004F3261"/>
    <w:rsid w:val="004F5047"/>
    <w:rsid w:val="004F5D0C"/>
    <w:rsid w:val="00502F91"/>
    <w:rsid w:val="00503E8E"/>
    <w:rsid w:val="00506C1E"/>
    <w:rsid w:val="00507958"/>
    <w:rsid w:val="00515414"/>
    <w:rsid w:val="00516BD6"/>
    <w:rsid w:val="00520013"/>
    <w:rsid w:val="00531F52"/>
    <w:rsid w:val="005342E5"/>
    <w:rsid w:val="005369F5"/>
    <w:rsid w:val="005411FB"/>
    <w:rsid w:val="0054325E"/>
    <w:rsid w:val="00553CC1"/>
    <w:rsid w:val="00556806"/>
    <w:rsid w:val="00557E59"/>
    <w:rsid w:val="00567BF9"/>
    <w:rsid w:val="0057048C"/>
    <w:rsid w:val="0057422D"/>
    <w:rsid w:val="00575FA0"/>
    <w:rsid w:val="0057668A"/>
    <w:rsid w:val="00582A8A"/>
    <w:rsid w:val="00591292"/>
    <w:rsid w:val="00593303"/>
    <w:rsid w:val="00593C54"/>
    <w:rsid w:val="005A3E5A"/>
    <w:rsid w:val="005A4A5C"/>
    <w:rsid w:val="005A588B"/>
    <w:rsid w:val="005A6D94"/>
    <w:rsid w:val="005B559A"/>
    <w:rsid w:val="005B7073"/>
    <w:rsid w:val="005B7EA4"/>
    <w:rsid w:val="005C4AF4"/>
    <w:rsid w:val="005C522F"/>
    <w:rsid w:val="005C761C"/>
    <w:rsid w:val="005C7C91"/>
    <w:rsid w:val="005D330C"/>
    <w:rsid w:val="005D3687"/>
    <w:rsid w:val="005D4290"/>
    <w:rsid w:val="005D5E69"/>
    <w:rsid w:val="005D6394"/>
    <w:rsid w:val="005E169B"/>
    <w:rsid w:val="005E579B"/>
    <w:rsid w:val="005E5FFA"/>
    <w:rsid w:val="005F22BD"/>
    <w:rsid w:val="005F2839"/>
    <w:rsid w:val="005F449C"/>
    <w:rsid w:val="00601B43"/>
    <w:rsid w:val="00603701"/>
    <w:rsid w:val="00607A96"/>
    <w:rsid w:val="006113F7"/>
    <w:rsid w:val="00617F65"/>
    <w:rsid w:val="0062294F"/>
    <w:rsid w:val="00625D8D"/>
    <w:rsid w:val="006332A4"/>
    <w:rsid w:val="00634B89"/>
    <w:rsid w:val="00636FD7"/>
    <w:rsid w:val="00641E99"/>
    <w:rsid w:val="006468C2"/>
    <w:rsid w:val="00652A37"/>
    <w:rsid w:val="0065631E"/>
    <w:rsid w:val="006639B4"/>
    <w:rsid w:val="0067003B"/>
    <w:rsid w:val="0067219B"/>
    <w:rsid w:val="00675CB5"/>
    <w:rsid w:val="00675FF2"/>
    <w:rsid w:val="0067642F"/>
    <w:rsid w:val="00684D54"/>
    <w:rsid w:val="00685A1C"/>
    <w:rsid w:val="00693A2A"/>
    <w:rsid w:val="00695456"/>
    <w:rsid w:val="0069672E"/>
    <w:rsid w:val="006A0259"/>
    <w:rsid w:val="006A2493"/>
    <w:rsid w:val="006A24CC"/>
    <w:rsid w:val="006A2CE0"/>
    <w:rsid w:val="006B1AAE"/>
    <w:rsid w:val="006C60C9"/>
    <w:rsid w:val="006D07BC"/>
    <w:rsid w:val="006D741F"/>
    <w:rsid w:val="006E43DF"/>
    <w:rsid w:val="006E5786"/>
    <w:rsid w:val="006E6D74"/>
    <w:rsid w:val="006E7FFD"/>
    <w:rsid w:val="006F2873"/>
    <w:rsid w:val="007010A5"/>
    <w:rsid w:val="00706E2F"/>
    <w:rsid w:val="00711AEE"/>
    <w:rsid w:val="0071411C"/>
    <w:rsid w:val="00714A0A"/>
    <w:rsid w:val="00721F49"/>
    <w:rsid w:val="00727414"/>
    <w:rsid w:val="007332E2"/>
    <w:rsid w:val="00735AC6"/>
    <w:rsid w:val="007408CE"/>
    <w:rsid w:val="007412AA"/>
    <w:rsid w:val="007412F9"/>
    <w:rsid w:val="007445B3"/>
    <w:rsid w:val="0076088B"/>
    <w:rsid w:val="00763248"/>
    <w:rsid w:val="00765250"/>
    <w:rsid w:val="0076584F"/>
    <w:rsid w:val="0077197F"/>
    <w:rsid w:val="00772B98"/>
    <w:rsid w:val="00774CDC"/>
    <w:rsid w:val="00777483"/>
    <w:rsid w:val="00780F55"/>
    <w:rsid w:val="00781F06"/>
    <w:rsid w:val="00782387"/>
    <w:rsid w:val="00784050"/>
    <w:rsid w:val="0078497F"/>
    <w:rsid w:val="00792A99"/>
    <w:rsid w:val="007954EA"/>
    <w:rsid w:val="00796B2B"/>
    <w:rsid w:val="007A529E"/>
    <w:rsid w:val="007A78DB"/>
    <w:rsid w:val="007B2548"/>
    <w:rsid w:val="007B3498"/>
    <w:rsid w:val="007B559A"/>
    <w:rsid w:val="007B6356"/>
    <w:rsid w:val="007C0E8F"/>
    <w:rsid w:val="007C3A2D"/>
    <w:rsid w:val="007C3DDC"/>
    <w:rsid w:val="007C5F88"/>
    <w:rsid w:val="007D0AA7"/>
    <w:rsid w:val="007D55EF"/>
    <w:rsid w:val="007E1F04"/>
    <w:rsid w:val="007E319E"/>
    <w:rsid w:val="007E5287"/>
    <w:rsid w:val="007F25DA"/>
    <w:rsid w:val="007F5B7F"/>
    <w:rsid w:val="00800B2D"/>
    <w:rsid w:val="00801589"/>
    <w:rsid w:val="0080259E"/>
    <w:rsid w:val="00803E94"/>
    <w:rsid w:val="00812EB7"/>
    <w:rsid w:val="00812F79"/>
    <w:rsid w:val="00813753"/>
    <w:rsid w:val="0081589C"/>
    <w:rsid w:val="00816942"/>
    <w:rsid w:val="00816C8D"/>
    <w:rsid w:val="008176E9"/>
    <w:rsid w:val="00820E2E"/>
    <w:rsid w:val="008230B7"/>
    <w:rsid w:val="008262B7"/>
    <w:rsid w:val="00827355"/>
    <w:rsid w:val="00827488"/>
    <w:rsid w:val="008333E0"/>
    <w:rsid w:val="00834234"/>
    <w:rsid w:val="0083529A"/>
    <w:rsid w:val="00835A1F"/>
    <w:rsid w:val="00837E19"/>
    <w:rsid w:val="0084097B"/>
    <w:rsid w:val="008467EA"/>
    <w:rsid w:val="00853693"/>
    <w:rsid w:val="00854006"/>
    <w:rsid w:val="0085474F"/>
    <w:rsid w:val="00855B34"/>
    <w:rsid w:val="00857F33"/>
    <w:rsid w:val="008618CB"/>
    <w:rsid w:val="00862C9D"/>
    <w:rsid w:val="00863BAF"/>
    <w:rsid w:val="0087017B"/>
    <w:rsid w:val="00870DC8"/>
    <w:rsid w:val="008741E7"/>
    <w:rsid w:val="008745D2"/>
    <w:rsid w:val="00881C09"/>
    <w:rsid w:val="008851CB"/>
    <w:rsid w:val="00897367"/>
    <w:rsid w:val="00897BD8"/>
    <w:rsid w:val="008B1849"/>
    <w:rsid w:val="008C1BE7"/>
    <w:rsid w:val="008C2EF0"/>
    <w:rsid w:val="008D0A53"/>
    <w:rsid w:val="008D12FC"/>
    <w:rsid w:val="008D41D6"/>
    <w:rsid w:val="008D4FE8"/>
    <w:rsid w:val="008E0EF5"/>
    <w:rsid w:val="008F09B6"/>
    <w:rsid w:val="008F2EF3"/>
    <w:rsid w:val="008F3A26"/>
    <w:rsid w:val="008F71EA"/>
    <w:rsid w:val="00902242"/>
    <w:rsid w:val="00904B54"/>
    <w:rsid w:val="00913ACA"/>
    <w:rsid w:val="00921DEE"/>
    <w:rsid w:val="009256CC"/>
    <w:rsid w:val="00927236"/>
    <w:rsid w:val="00930698"/>
    <w:rsid w:val="009325A3"/>
    <w:rsid w:val="009342F3"/>
    <w:rsid w:val="00934B39"/>
    <w:rsid w:val="00936C7B"/>
    <w:rsid w:val="00942D19"/>
    <w:rsid w:val="00944166"/>
    <w:rsid w:val="00945AA0"/>
    <w:rsid w:val="00947FAA"/>
    <w:rsid w:val="00952E74"/>
    <w:rsid w:val="00957187"/>
    <w:rsid w:val="009606FE"/>
    <w:rsid w:val="00961CB2"/>
    <w:rsid w:val="00962045"/>
    <w:rsid w:val="00963A01"/>
    <w:rsid w:val="009649F8"/>
    <w:rsid w:val="009651CE"/>
    <w:rsid w:val="00970AAB"/>
    <w:rsid w:val="009725DE"/>
    <w:rsid w:val="00986214"/>
    <w:rsid w:val="0098633D"/>
    <w:rsid w:val="00994E79"/>
    <w:rsid w:val="00996A34"/>
    <w:rsid w:val="0099754C"/>
    <w:rsid w:val="00997DCE"/>
    <w:rsid w:val="009A1B67"/>
    <w:rsid w:val="009A1BDC"/>
    <w:rsid w:val="009A21D7"/>
    <w:rsid w:val="009A580D"/>
    <w:rsid w:val="009B0FC5"/>
    <w:rsid w:val="009B1186"/>
    <w:rsid w:val="009B245E"/>
    <w:rsid w:val="009C59F3"/>
    <w:rsid w:val="009C5B5F"/>
    <w:rsid w:val="009C7CE4"/>
    <w:rsid w:val="009D05B9"/>
    <w:rsid w:val="009D237B"/>
    <w:rsid w:val="009D37C1"/>
    <w:rsid w:val="009E0994"/>
    <w:rsid w:val="009E1CB6"/>
    <w:rsid w:val="009E2506"/>
    <w:rsid w:val="009E42C7"/>
    <w:rsid w:val="009E52B3"/>
    <w:rsid w:val="009E58FE"/>
    <w:rsid w:val="009E6D82"/>
    <w:rsid w:val="009F1FA1"/>
    <w:rsid w:val="009F39EF"/>
    <w:rsid w:val="00A0074E"/>
    <w:rsid w:val="00A022CF"/>
    <w:rsid w:val="00A031FC"/>
    <w:rsid w:val="00A0380E"/>
    <w:rsid w:val="00A0432B"/>
    <w:rsid w:val="00A05F20"/>
    <w:rsid w:val="00A2098B"/>
    <w:rsid w:val="00A20A33"/>
    <w:rsid w:val="00A228A4"/>
    <w:rsid w:val="00A24B97"/>
    <w:rsid w:val="00A277DF"/>
    <w:rsid w:val="00A315D2"/>
    <w:rsid w:val="00A32A1A"/>
    <w:rsid w:val="00A36ECF"/>
    <w:rsid w:val="00A4127C"/>
    <w:rsid w:val="00A451E4"/>
    <w:rsid w:val="00A52EF3"/>
    <w:rsid w:val="00A66688"/>
    <w:rsid w:val="00A67444"/>
    <w:rsid w:val="00A7087A"/>
    <w:rsid w:val="00A71682"/>
    <w:rsid w:val="00A7445E"/>
    <w:rsid w:val="00A74D06"/>
    <w:rsid w:val="00A76F26"/>
    <w:rsid w:val="00A77309"/>
    <w:rsid w:val="00A77759"/>
    <w:rsid w:val="00A802A3"/>
    <w:rsid w:val="00A8163C"/>
    <w:rsid w:val="00A81B89"/>
    <w:rsid w:val="00A82EE8"/>
    <w:rsid w:val="00A83168"/>
    <w:rsid w:val="00A83F46"/>
    <w:rsid w:val="00A859C2"/>
    <w:rsid w:val="00A87DBF"/>
    <w:rsid w:val="00A91698"/>
    <w:rsid w:val="00A91C99"/>
    <w:rsid w:val="00AA4F81"/>
    <w:rsid w:val="00AA52EB"/>
    <w:rsid w:val="00AA65FC"/>
    <w:rsid w:val="00AB3E32"/>
    <w:rsid w:val="00AB7496"/>
    <w:rsid w:val="00AC2047"/>
    <w:rsid w:val="00AC2A26"/>
    <w:rsid w:val="00AC39A2"/>
    <w:rsid w:val="00AC58FD"/>
    <w:rsid w:val="00AD0AC9"/>
    <w:rsid w:val="00AD6627"/>
    <w:rsid w:val="00AD7356"/>
    <w:rsid w:val="00AD75DA"/>
    <w:rsid w:val="00AD7C01"/>
    <w:rsid w:val="00AE43B7"/>
    <w:rsid w:val="00AF1E40"/>
    <w:rsid w:val="00AF2A50"/>
    <w:rsid w:val="00AF79D6"/>
    <w:rsid w:val="00B01F66"/>
    <w:rsid w:val="00B03D1C"/>
    <w:rsid w:val="00B079CC"/>
    <w:rsid w:val="00B11379"/>
    <w:rsid w:val="00B115F9"/>
    <w:rsid w:val="00B14A73"/>
    <w:rsid w:val="00B14E3F"/>
    <w:rsid w:val="00B170F8"/>
    <w:rsid w:val="00B2685C"/>
    <w:rsid w:val="00B3016B"/>
    <w:rsid w:val="00B31636"/>
    <w:rsid w:val="00B415B0"/>
    <w:rsid w:val="00B445D5"/>
    <w:rsid w:val="00B52125"/>
    <w:rsid w:val="00B545AE"/>
    <w:rsid w:val="00B5515E"/>
    <w:rsid w:val="00B5556C"/>
    <w:rsid w:val="00B6599E"/>
    <w:rsid w:val="00B8121C"/>
    <w:rsid w:val="00B907BD"/>
    <w:rsid w:val="00B9120F"/>
    <w:rsid w:val="00B927A5"/>
    <w:rsid w:val="00B96D40"/>
    <w:rsid w:val="00BA274E"/>
    <w:rsid w:val="00BA5870"/>
    <w:rsid w:val="00BA6391"/>
    <w:rsid w:val="00BA662B"/>
    <w:rsid w:val="00BB4053"/>
    <w:rsid w:val="00BB4372"/>
    <w:rsid w:val="00BB6596"/>
    <w:rsid w:val="00BC0EF6"/>
    <w:rsid w:val="00BC1D2C"/>
    <w:rsid w:val="00BC2265"/>
    <w:rsid w:val="00BC2853"/>
    <w:rsid w:val="00BC33FF"/>
    <w:rsid w:val="00BC4218"/>
    <w:rsid w:val="00BE3231"/>
    <w:rsid w:val="00BE44C2"/>
    <w:rsid w:val="00BF22FD"/>
    <w:rsid w:val="00BF70F4"/>
    <w:rsid w:val="00BF7E3C"/>
    <w:rsid w:val="00C021BB"/>
    <w:rsid w:val="00C041C3"/>
    <w:rsid w:val="00C249CA"/>
    <w:rsid w:val="00C321CC"/>
    <w:rsid w:val="00C344A5"/>
    <w:rsid w:val="00C34772"/>
    <w:rsid w:val="00C34A53"/>
    <w:rsid w:val="00C400DD"/>
    <w:rsid w:val="00C41F5C"/>
    <w:rsid w:val="00C47576"/>
    <w:rsid w:val="00C556B7"/>
    <w:rsid w:val="00C61770"/>
    <w:rsid w:val="00C731A8"/>
    <w:rsid w:val="00C75A11"/>
    <w:rsid w:val="00C771CE"/>
    <w:rsid w:val="00C8142C"/>
    <w:rsid w:val="00C9334E"/>
    <w:rsid w:val="00C97948"/>
    <w:rsid w:val="00CA568F"/>
    <w:rsid w:val="00CA69F6"/>
    <w:rsid w:val="00CA71C1"/>
    <w:rsid w:val="00CB002F"/>
    <w:rsid w:val="00CB0506"/>
    <w:rsid w:val="00CB0CB1"/>
    <w:rsid w:val="00CB2063"/>
    <w:rsid w:val="00CB25BE"/>
    <w:rsid w:val="00CC1E16"/>
    <w:rsid w:val="00CC23E4"/>
    <w:rsid w:val="00CC2495"/>
    <w:rsid w:val="00CC53BA"/>
    <w:rsid w:val="00CD09EE"/>
    <w:rsid w:val="00CD7731"/>
    <w:rsid w:val="00CE2BCE"/>
    <w:rsid w:val="00CE2DFC"/>
    <w:rsid w:val="00CE505A"/>
    <w:rsid w:val="00CE5BB8"/>
    <w:rsid w:val="00CE6F6A"/>
    <w:rsid w:val="00CF04C0"/>
    <w:rsid w:val="00CF1BCC"/>
    <w:rsid w:val="00D03A62"/>
    <w:rsid w:val="00D044F0"/>
    <w:rsid w:val="00D079A7"/>
    <w:rsid w:val="00D10B35"/>
    <w:rsid w:val="00D11585"/>
    <w:rsid w:val="00D11B7D"/>
    <w:rsid w:val="00D1463F"/>
    <w:rsid w:val="00D15749"/>
    <w:rsid w:val="00D234FF"/>
    <w:rsid w:val="00D27255"/>
    <w:rsid w:val="00D30E30"/>
    <w:rsid w:val="00D3150E"/>
    <w:rsid w:val="00D32746"/>
    <w:rsid w:val="00D32B87"/>
    <w:rsid w:val="00D33330"/>
    <w:rsid w:val="00D358DD"/>
    <w:rsid w:val="00D4068A"/>
    <w:rsid w:val="00D44588"/>
    <w:rsid w:val="00D460BF"/>
    <w:rsid w:val="00D52B78"/>
    <w:rsid w:val="00D53F72"/>
    <w:rsid w:val="00D61BCF"/>
    <w:rsid w:val="00D641FB"/>
    <w:rsid w:val="00D646EF"/>
    <w:rsid w:val="00D67D69"/>
    <w:rsid w:val="00D774A1"/>
    <w:rsid w:val="00D779A4"/>
    <w:rsid w:val="00D80F3B"/>
    <w:rsid w:val="00D95530"/>
    <w:rsid w:val="00D9624B"/>
    <w:rsid w:val="00D96FC1"/>
    <w:rsid w:val="00DA377C"/>
    <w:rsid w:val="00DA7186"/>
    <w:rsid w:val="00DA7D95"/>
    <w:rsid w:val="00DB0474"/>
    <w:rsid w:val="00DC4818"/>
    <w:rsid w:val="00DD1C3A"/>
    <w:rsid w:val="00DD53AE"/>
    <w:rsid w:val="00DE2B67"/>
    <w:rsid w:val="00DE2EA8"/>
    <w:rsid w:val="00DE3320"/>
    <w:rsid w:val="00DE39C9"/>
    <w:rsid w:val="00DE7109"/>
    <w:rsid w:val="00DF0EB7"/>
    <w:rsid w:val="00DF2E6F"/>
    <w:rsid w:val="00DF6992"/>
    <w:rsid w:val="00DF7E88"/>
    <w:rsid w:val="00E054D9"/>
    <w:rsid w:val="00E07E63"/>
    <w:rsid w:val="00E132C6"/>
    <w:rsid w:val="00E14E25"/>
    <w:rsid w:val="00E215B0"/>
    <w:rsid w:val="00E21ADD"/>
    <w:rsid w:val="00E22ECE"/>
    <w:rsid w:val="00E25CEE"/>
    <w:rsid w:val="00E356B3"/>
    <w:rsid w:val="00E3737E"/>
    <w:rsid w:val="00E37FC3"/>
    <w:rsid w:val="00E405A9"/>
    <w:rsid w:val="00E4196C"/>
    <w:rsid w:val="00E467FE"/>
    <w:rsid w:val="00E560A1"/>
    <w:rsid w:val="00E57750"/>
    <w:rsid w:val="00E65B5A"/>
    <w:rsid w:val="00E66162"/>
    <w:rsid w:val="00E728B5"/>
    <w:rsid w:val="00E72AC9"/>
    <w:rsid w:val="00E75D4B"/>
    <w:rsid w:val="00E85D02"/>
    <w:rsid w:val="00EA4DB5"/>
    <w:rsid w:val="00EA7674"/>
    <w:rsid w:val="00EB2C42"/>
    <w:rsid w:val="00EB36B1"/>
    <w:rsid w:val="00EB43FA"/>
    <w:rsid w:val="00EB71F2"/>
    <w:rsid w:val="00EC7C30"/>
    <w:rsid w:val="00ED181D"/>
    <w:rsid w:val="00EE787C"/>
    <w:rsid w:val="00EF22BC"/>
    <w:rsid w:val="00EF287A"/>
    <w:rsid w:val="00EF6E8C"/>
    <w:rsid w:val="00F022DC"/>
    <w:rsid w:val="00F05151"/>
    <w:rsid w:val="00F052A2"/>
    <w:rsid w:val="00F06C2F"/>
    <w:rsid w:val="00F129D7"/>
    <w:rsid w:val="00F14D54"/>
    <w:rsid w:val="00F341DA"/>
    <w:rsid w:val="00F34F1B"/>
    <w:rsid w:val="00F407C5"/>
    <w:rsid w:val="00F42FDD"/>
    <w:rsid w:val="00F4425B"/>
    <w:rsid w:val="00F45B67"/>
    <w:rsid w:val="00F47273"/>
    <w:rsid w:val="00F50405"/>
    <w:rsid w:val="00F549D2"/>
    <w:rsid w:val="00F674CA"/>
    <w:rsid w:val="00F67672"/>
    <w:rsid w:val="00F868FE"/>
    <w:rsid w:val="00F86C74"/>
    <w:rsid w:val="00F90952"/>
    <w:rsid w:val="00F97976"/>
    <w:rsid w:val="00FA5F11"/>
    <w:rsid w:val="00FA78AE"/>
    <w:rsid w:val="00FB44E1"/>
    <w:rsid w:val="00FB6746"/>
    <w:rsid w:val="00FC038A"/>
    <w:rsid w:val="00FC0C83"/>
    <w:rsid w:val="00FC2E86"/>
    <w:rsid w:val="00FD0DD9"/>
    <w:rsid w:val="00FD1045"/>
    <w:rsid w:val="00FD216D"/>
    <w:rsid w:val="00FD64FE"/>
    <w:rsid w:val="00FE0D99"/>
    <w:rsid w:val="00FE766D"/>
    <w:rsid w:val="00FF13A5"/>
    <w:rsid w:val="00FF5A8D"/>
    <w:rsid w:val="0D564513"/>
    <w:rsid w:val="10C82ACF"/>
    <w:rsid w:val="1236537F"/>
    <w:rsid w:val="123A14F2"/>
    <w:rsid w:val="136C48DE"/>
    <w:rsid w:val="13846421"/>
    <w:rsid w:val="14040D1B"/>
    <w:rsid w:val="1BE41235"/>
    <w:rsid w:val="1BFE24B9"/>
    <w:rsid w:val="1DA72BDC"/>
    <w:rsid w:val="249E20DA"/>
    <w:rsid w:val="27D37F8D"/>
    <w:rsid w:val="27FD406A"/>
    <w:rsid w:val="2A964648"/>
    <w:rsid w:val="2D1D005F"/>
    <w:rsid w:val="2DC7649F"/>
    <w:rsid w:val="365B6875"/>
    <w:rsid w:val="36ED408B"/>
    <w:rsid w:val="39E2283C"/>
    <w:rsid w:val="3A132460"/>
    <w:rsid w:val="3C577C28"/>
    <w:rsid w:val="3EA61E6C"/>
    <w:rsid w:val="3F1BCB25"/>
    <w:rsid w:val="3F599F0E"/>
    <w:rsid w:val="3F77D5D2"/>
    <w:rsid w:val="3F803B09"/>
    <w:rsid w:val="3FD92C69"/>
    <w:rsid w:val="3FDFB89B"/>
    <w:rsid w:val="3FDFE23C"/>
    <w:rsid w:val="3FFF1D75"/>
    <w:rsid w:val="3FFF7AA1"/>
    <w:rsid w:val="44E643BD"/>
    <w:rsid w:val="44FF854F"/>
    <w:rsid w:val="4F3BEFBB"/>
    <w:rsid w:val="51F669CD"/>
    <w:rsid w:val="53197976"/>
    <w:rsid w:val="547E1405"/>
    <w:rsid w:val="54FB3808"/>
    <w:rsid w:val="56FF2437"/>
    <w:rsid w:val="5749401A"/>
    <w:rsid w:val="57FF8AC1"/>
    <w:rsid w:val="5BFAB57B"/>
    <w:rsid w:val="5DBCF3F8"/>
    <w:rsid w:val="5F5B2707"/>
    <w:rsid w:val="5F703239"/>
    <w:rsid w:val="5FFBE41B"/>
    <w:rsid w:val="600E53AA"/>
    <w:rsid w:val="60101760"/>
    <w:rsid w:val="638F3A00"/>
    <w:rsid w:val="64352B9A"/>
    <w:rsid w:val="65AF16F4"/>
    <w:rsid w:val="67B677E9"/>
    <w:rsid w:val="67FE4A84"/>
    <w:rsid w:val="68D41E1C"/>
    <w:rsid w:val="6A4F4521"/>
    <w:rsid w:val="6EC536E6"/>
    <w:rsid w:val="6F3F0C47"/>
    <w:rsid w:val="6FBF88A8"/>
    <w:rsid w:val="6FEAAC17"/>
    <w:rsid w:val="6FFF59EA"/>
    <w:rsid w:val="6FFFC1CE"/>
    <w:rsid w:val="6FFFF50A"/>
    <w:rsid w:val="715B17E8"/>
    <w:rsid w:val="73DE168D"/>
    <w:rsid w:val="75E0165E"/>
    <w:rsid w:val="75F24768"/>
    <w:rsid w:val="763924C2"/>
    <w:rsid w:val="76D7C399"/>
    <w:rsid w:val="76EFE279"/>
    <w:rsid w:val="79E461BB"/>
    <w:rsid w:val="7B6B6259"/>
    <w:rsid w:val="7B9AA7DA"/>
    <w:rsid w:val="7BBEE8C0"/>
    <w:rsid w:val="7BEE1046"/>
    <w:rsid w:val="7BFD2FCC"/>
    <w:rsid w:val="7BFF0BAC"/>
    <w:rsid w:val="7CF3CC18"/>
    <w:rsid w:val="7DFD6123"/>
    <w:rsid w:val="7E5AD044"/>
    <w:rsid w:val="7E5DC344"/>
    <w:rsid w:val="7EBE7D47"/>
    <w:rsid w:val="7EEB3C5F"/>
    <w:rsid w:val="7EF766C1"/>
    <w:rsid w:val="7EFF39C5"/>
    <w:rsid w:val="7F0FD3CF"/>
    <w:rsid w:val="7F6BE2FE"/>
    <w:rsid w:val="7F7724E3"/>
    <w:rsid w:val="7F7DF3A7"/>
    <w:rsid w:val="7FBFC2DF"/>
    <w:rsid w:val="7FEF1295"/>
    <w:rsid w:val="7FFB1A12"/>
    <w:rsid w:val="7FFB70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691A2"/>
  <w15:docId w15:val="{92DDA8D5-3434-4318-B032-4655BCBF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qFormat/>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9">
    <w:name w:val="页脚 字符"/>
    <w:basedOn w:val="a0"/>
    <w:link w:val="a8"/>
    <w:uiPriority w:val="99"/>
    <w:qFormat/>
    <w:rPr>
      <w:rFonts w:ascii="Times New Roman" w:eastAsia="宋体" w:hAnsi="Times New Roman" w:cs="Times New Roman"/>
      <w:sz w:val="18"/>
      <w:szCs w:val="18"/>
    </w:rPr>
  </w:style>
  <w:style w:type="character" w:customStyle="1" w:styleId="1">
    <w:name w:val="页码1"/>
    <w:basedOn w:val="a0"/>
    <w:qFormat/>
  </w:style>
  <w:style w:type="paragraph" w:customStyle="1" w:styleId="10">
    <w:name w:val="普通(网站)1"/>
    <w:basedOn w:val="a"/>
    <w:qFormat/>
    <w:pPr>
      <w:widowControl/>
      <w:spacing w:before="100" w:beforeAutospacing="1" w:after="100" w:afterAutospacing="1"/>
      <w:jc w:val="left"/>
    </w:pPr>
    <w:rPr>
      <w:rFonts w:ascii="宋体" w:hAnsi="宋体"/>
      <w:kern w:val="0"/>
      <w:sz w:val="24"/>
    </w:rPr>
  </w:style>
  <w:style w:type="character" w:customStyle="1" w:styleId="ab">
    <w:name w:val="页眉 字符"/>
    <w:basedOn w:val="a0"/>
    <w:link w:val="aa"/>
    <w:uiPriority w:val="99"/>
    <w:semiHidden/>
    <w:qFormat/>
    <w:rPr>
      <w:kern w:val="2"/>
      <w:sz w:val="18"/>
      <w:szCs w:val="18"/>
    </w:rPr>
  </w:style>
  <w:style w:type="character" w:customStyle="1" w:styleId="a4">
    <w:name w:val="批注文字 字符"/>
    <w:basedOn w:val="a0"/>
    <w:link w:val="a3"/>
    <w:uiPriority w:val="99"/>
    <w:semiHidden/>
    <w:qFormat/>
    <w:rPr>
      <w:kern w:val="2"/>
      <w:sz w:val="21"/>
      <w:szCs w:val="24"/>
    </w:rPr>
  </w:style>
  <w:style w:type="character" w:customStyle="1" w:styleId="ad">
    <w:name w:val="批注主题 字符"/>
    <w:basedOn w:val="a4"/>
    <w:link w:val="ac"/>
    <w:uiPriority w:val="99"/>
    <w:semiHidden/>
    <w:qFormat/>
    <w:rPr>
      <w:b/>
      <w:bCs/>
      <w:kern w:val="2"/>
      <w:sz w:val="21"/>
      <w:szCs w:val="24"/>
    </w:rPr>
  </w:style>
  <w:style w:type="paragraph" w:customStyle="1" w:styleId="11">
    <w:name w:val="修订1"/>
    <w:hidden/>
    <w:uiPriority w:val="99"/>
    <w:semiHidden/>
    <w:qFormat/>
    <w:rPr>
      <w:kern w:val="2"/>
      <w:sz w:val="21"/>
      <w:szCs w:val="24"/>
    </w:rPr>
  </w:style>
  <w:style w:type="character" w:customStyle="1" w:styleId="a7">
    <w:name w:val="批注框文本 字符"/>
    <w:basedOn w:val="a0"/>
    <w:link w:val="a6"/>
    <w:uiPriority w:val="99"/>
    <w:semiHidden/>
    <w:qFormat/>
    <w:rPr>
      <w:kern w:val="2"/>
      <w:sz w:val="18"/>
      <w:szCs w:val="18"/>
    </w:rPr>
  </w:style>
  <w:style w:type="paragraph" w:styleId="af">
    <w:name w:val="Normal (Web)"/>
    <w:basedOn w:val="a"/>
    <w:uiPriority w:val="99"/>
    <w:semiHidden/>
    <w:unhideWhenUsed/>
    <w:rsid w:val="008D4FE8"/>
    <w:pPr>
      <w:widowControl/>
      <w:spacing w:before="100" w:beforeAutospacing="1" w:after="100" w:afterAutospacing="1"/>
      <w:jc w:val="left"/>
    </w:pPr>
    <w:rPr>
      <w:rFonts w:ascii="宋体" w:hAnsi="宋体" w:cs="宋体"/>
      <w:kern w:val="0"/>
      <w:sz w:val="24"/>
    </w:rPr>
  </w:style>
  <w:style w:type="character" w:styleId="af0">
    <w:name w:val="Hyperlink"/>
    <w:basedOn w:val="a0"/>
    <w:uiPriority w:val="99"/>
    <w:semiHidden/>
    <w:unhideWhenUsed/>
    <w:rsid w:val="008D4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1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pro.baidu.com/cpro/ui/uijs.php?adclass=0&amp;app_id=0&amp;c=news&amp;cf=1001&amp;ch=0&amp;di=8&amp;fv=20&amp;is_app=0&amp;jk=7f73ba4fae78f5bc&amp;k=%BC%C7%D5%CB&amp;k0=%BC%C7%D5%CB&amp;kdi0=0&amp;luki=2&amp;mcpm=0&amp;n=10&amp;p=baidu&amp;q=baidusiteerror_cpr&amp;rb=0&amp;rs=1&amp;seller_id=1&amp;sid=bcf578ae4fba737f&amp;ssp2=1&amp;stid=9&amp;t=tpclicked3_hc&amp;td=1615258&amp;tu=u1615258&amp;u=http://emuch.net/html/201505/8901825.html&amp;url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A3282-8C64-4174-A70A-48BC5F7A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系统管理员(sysadmin)</dc:title>
  <dc:creator>系统管理员(sysadmin)</dc:creator>
  <cp:lastModifiedBy>Lenovo</cp:lastModifiedBy>
  <cp:revision>39</cp:revision>
  <cp:lastPrinted>2021-09-29T18:19:00Z</cp:lastPrinted>
  <dcterms:created xsi:type="dcterms:W3CDTF">2021-09-17T06:34:00Z</dcterms:created>
  <dcterms:modified xsi:type="dcterms:W3CDTF">2021-12-07T02:42:00Z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71B845EAAD4E4EB49C3EB53C70079BC5</vt:lpwstr>
  </property>
</Properties>
</file>